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D31C3">
      <w:pPr>
        <w:rPr>
          <w:rFonts w:ascii="黑体" w:hAnsi="黑体" w:eastAsia="黑体"/>
          <w:sz w:val="32"/>
          <w:szCs w:val="32"/>
        </w:rPr>
      </w:pPr>
    </w:p>
    <w:p w14:paraId="387E21B6">
      <w:pPr>
        <w:rPr>
          <w:rFonts w:ascii="黑体" w:hAnsi="黑体" w:eastAsia="黑体"/>
          <w:sz w:val="32"/>
          <w:szCs w:val="32"/>
        </w:rPr>
      </w:pPr>
    </w:p>
    <w:p w14:paraId="73FCC750">
      <w:pPr>
        <w:rPr>
          <w:rFonts w:ascii="黑体" w:hAnsi="黑体" w:eastAsia="黑体"/>
          <w:sz w:val="32"/>
          <w:szCs w:val="32"/>
        </w:rPr>
      </w:pPr>
    </w:p>
    <w:p w14:paraId="7EEF712F">
      <w:pPr>
        <w:rPr>
          <w:rFonts w:ascii="黑体" w:hAnsi="黑体" w:eastAsia="黑体"/>
          <w:sz w:val="32"/>
          <w:szCs w:val="32"/>
        </w:rPr>
      </w:pPr>
    </w:p>
    <w:p w14:paraId="080FF8FF">
      <w:pPr>
        <w:jc w:val="center"/>
        <w:rPr>
          <w:rFonts w:ascii="黑体" w:hAnsi="黑体" w:eastAsia="黑体"/>
          <w:sz w:val="32"/>
          <w:szCs w:val="32"/>
        </w:rPr>
      </w:pPr>
    </w:p>
    <w:p w14:paraId="77AE48E2">
      <w:pPr>
        <w:jc w:val="center"/>
        <w:rPr>
          <w:rFonts w:ascii="黑体" w:hAnsi="黑体" w:eastAsia="黑体"/>
          <w:sz w:val="32"/>
          <w:szCs w:val="32"/>
        </w:rPr>
      </w:pPr>
      <w:r>
        <w:rPr>
          <w:rFonts w:hint="eastAsia" w:ascii="黑体" w:hAnsi="黑体" w:eastAsia="黑体"/>
          <w:sz w:val="32"/>
          <w:szCs w:val="32"/>
        </w:rPr>
        <w:t>《环氧乙烷/乙二醇装置</w:t>
      </w:r>
      <w:r>
        <w:rPr>
          <w:rFonts w:ascii="黑体" w:hAnsi="黑体" w:eastAsia="黑体" w:cs="Times New Roman"/>
          <w:sz w:val="32"/>
          <w:szCs w:val="32"/>
        </w:rPr>
        <w:t>碳排放基准</w:t>
      </w:r>
      <w:r>
        <w:rPr>
          <w:rFonts w:hint="eastAsia" w:ascii="黑体" w:hAnsi="黑体" w:eastAsia="黑体"/>
          <w:sz w:val="32"/>
          <w:szCs w:val="32"/>
        </w:rPr>
        <w:t>》</w:t>
      </w:r>
    </w:p>
    <w:p w14:paraId="5A6F25DE">
      <w:pPr>
        <w:jc w:val="center"/>
        <w:rPr>
          <w:rFonts w:ascii="黑体" w:hAnsi="黑体" w:eastAsia="黑体"/>
          <w:sz w:val="32"/>
          <w:szCs w:val="32"/>
        </w:rPr>
      </w:pPr>
      <w:r>
        <w:rPr>
          <w:rFonts w:hint="eastAsia" w:ascii="黑体" w:hAnsi="黑体" w:eastAsia="黑体"/>
          <w:sz w:val="32"/>
          <w:szCs w:val="32"/>
        </w:rPr>
        <w:t>（征求意见稿）</w:t>
      </w:r>
    </w:p>
    <w:p w14:paraId="660C72DA">
      <w:pPr>
        <w:jc w:val="center"/>
        <w:rPr>
          <w:rFonts w:ascii="黑体" w:hAnsi="黑体" w:eastAsia="黑体"/>
          <w:sz w:val="32"/>
          <w:szCs w:val="32"/>
        </w:rPr>
      </w:pPr>
    </w:p>
    <w:p w14:paraId="285F1589">
      <w:pPr>
        <w:jc w:val="center"/>
        <w:rPr>
          <w:rFonts w:ascii="黑体" w:hAnsi="黑体" w:eastAsia="黑体"/>
          <w:sz w:val="32"/>
          <w:szCs w:val="32"/>
        </w:rPr>
      </w:pPr>
      <w:r>
        <w:rPr>
          <w:rFonts w:hint="eastAsia" w:ascii="黑体" w:hAnsi="黑体" w:eastAsia="黑体"/>
          <w:sz w:val="32"/>
          <w:szCs w:val="32"/>
        </w:rPr>
        <w:t>团体标准</w:t>
      </w:r>
    </w:p>
    <w:p w14:paraId="53D036BA">
      <w:pPr>
        <w:jc w:val="center"/>
        <w:rPr>
          <w:rFonts w:ascii="黑体" w:hAnsi="黑体" w:eastAsia="黑体"/>
          <w:sz w:val="32"/>
          <w:szCs w:val="32"/>
        </w:rPr>
      </w:pPr>
    </w:p>
    <w:p w14:paraId="51766024">
      <w:pPr>
        <w:jc w:val="center"/>
        <w:rPr>
          <w:rFonts w:ascii="黑体" w:hAnsi="黑体" w:eastAsia="黑体"/>
          <w:sz w:val="32"/>
          <w:szCs w:val="32"/>
        </w:rPr>
      </w:pPr>
      <w:r>
        <w:rPr>
          <w:rFonts w:hint="eastAsia" w:ascii="黑体" w:hAnsi="黑体" w:eastAsia="黑体"/>
          <w:sz w:val="32"/>
          <w:szCs w:val="32"/>
        </w:rPr>
        <w:t>编制说明</w:t>
      </w:r>
    </w:p>
    <w:p w14:paraId="56AE83D3">
      <w:pPr>
        <w:jc w:val="center"/>
        <w:rPr>
          <w:rFonts w:ascii="黑体" w:hAnsi="黑体" w:eastAsia="黑体"/>
          <w:sz w:val="32"/>
          <w:szCs w:val="32"/>
        </w:rPr>
      </w:pPr>
    </w:p>
    <w:p w14:paraId="31B9B7A7">
      <w:pPr>
        <w:jc w:val="center"/>
        <w:rPr>
          <w:rFonts w:ascii="黑体" w:hAnsi="黑体" w:eastAsia="黑体"/>
          <w:sz w:val="32"/>
          <w:szCs w:val="32"/>
        </w:rPr>
      </w:pPr>
    </w:p>
    <w:p w14:paraId="57E027B5">
      <w:pPr>
        <w:jc w:val="center"/>
        <w:rPr>
          <w:rFonts w:ascii="黑体" w:hAnsi="黑体" w:eastAsia="黑体"/>
          <w:sz w:val="32"/>
          <w:szCs w:val="32"/>
        </w:rPr>
      </w:pPr>
    </w:p>
    <w:p w14:paraId="71A0B0EE">
      <w:pPr>
        <w:jc w:val="center"/>
        <w:rPr>
          <w:rFonts w:ascii="黑体" w:hAnsi="黑体" w:eastAsia="黑体"/>
          <w:sz w:val="32"/>
          <w:szCs w:val="32"/>
        </w:rPr>
      </w:pPr>
    </w:p>
    <w:p w14:paraId="068B3599">
      <w:pPr>
        <w:jc w:val="center"/>
        <w:rPr>
          <w:rFonts w:ascii="黑体" w:hAnsi="黑体" w:eastAsia="黑体"/>
          <w:sz w:val="32"/>
          <w:szCs w:val="32"/>
        </w:rPr>
      </w:pPr>
    </w:p>
    <w:p w14:paraId="49500A24">
      <w:pPr>
        <w:jc w:val="center"/>
        <w:rPr>
          <w:rFonts w:ascii="黑体" w:hAnsi="黑体" w:eastAsia="黑体"/>
          <w:sz w:val="32"/>
          <w:szCs w:val="32"/>
        </w:rPr>
      </w:pPr>
    </w:p>
    <w:p w14:paraId="126BB332">
      <w:pPr>
        <w:jc w:val="center"/>
        <w:rPr>
          <w:rFonts w:ascii="黑体" w:hAnsi="黑体" w:eastAsia="黑体"/>
          <w:sz w:val="32"/>
          <w:szCs w:val="32"/>
        </w:rPr>
      </w:pPr>
    </w:p>
    <w:p w14:paraId="6A0BAFB1">
      <w:pPr>
        <w:jc w:val="center"/>
        <w:rPr>
          <w:rFonts w:ascii="黑体" w:hAnsi="黑体" w:eastAsia="黑体"/>
          <w:sz w:val="32"/>
          <w:szCs w:val="32"/>
        </w:rPr>
      </w:pPr>
      <w:r>
        <w:rPr>
          <w:rFonts w:hint="eastAsia" w:ascii="黑体" w:hAnsi="黑体" w:eastAsia="黑体"/>
          <w:sz w:val="32"/>
          <w:szCs w:val="32"/>
        </w:rPr>
        <w:t>《环氧乙烷/乙二醇装置碳</w:t>
      </w:r>
      <w:r>
        <w:rPr>
          <w:rFonts w:ascii="黑体" w:hAnsi="黑体" w:eastAsia="黑体" w:cs="Times New Roman"/>
          <w:sz w:val="32"/>
          <w:szCs w:val="32"/>
        </w:rPr>
        <w:t>排放基准</w:t>
      </w:r>
      <w:r>
        <w:rPr>
          <w:rFonts w:hint="eastAsia" w:ascii="黑体" w:hAnsi="黑体" w:eastAsia="黑体"/>
          <w:sz w:val="32"/>
          <w:szCs w:val="32"/>
        </w:rPr>
        <w:t>》编制组</w:t>
      </w:r>
    </w:p>
    <w:p w14:paraId="1B230E1F">
      <w:pPr>
        <w:jc w:val="center"/>
        <w:rPr>
          <w:rFonts w:ascii="黑体" w:hAnsi="黑体" w:eastAsia="黑体"/>
          <w:sz w:val="32"/>
          <w:szCs w:val="32"/>
        </w:rPr>
      </w:pPr>
      <w:r>
        <w:rPr>
          <w:rFonts w:hint="eastAsia" w:ascii="黑体" w:hAnsi="黑体" w:eastAsia="黑体"/>
          <w:sz w:val="32"/>
          <w:szCs w:val="32"/>
        </w:rPr>
        <w:t>2</w:t>
      </w:r>
      <w:r>
        <w:rPr>
          <w:rFonts w:ascii="黑体" w:hAnsi="黑体" w:eastAsia="黑体"/>
          <w:sz w:val="32"/>
          <w:szCs w:val="32"/>
        </w:rPr>
        <w:t>024</w:t>
      </w:r>
      <w:r>
        <w:rPr>
          <w:rFonts w:hint="eastAsia" w:ascii="黑体" w:hAnsi="黑体" w:eastAsia="黑体"/>
          <w:sz w:val="32"/>
          <w:szCs w:val="32"/>
        </w:rPr>
        <w:t>年</w:t>
      </w:r>
      <w:r>
        <w:rPr>
          <w:rFonts w:ascii="黑体" w:hAnsi="黑体" w:eastAsia="黑体"/>
          <w:sz w:val="32"/>
          <w:szCs w:val="32"/>
        </w:rPr>
        <w:t>11</w:t>
      </w:r>
      <w:r>
        <w:rPr>
          <w:rFonts w:hint="eastAsia" w:ascii="黑体" w:hAnsi="黑体" w:eastAsia="黑体"/>
          <w:sz w:val="32"/>
          <w:szCs w:val="32"/>
        </w:rPr>
        <w:t>月</w:t>
      </w:r>
    </w:p>
    <w:p w14:paraId="21BED43F">
      <w:pPr>
        <w:jc w:val="center"/>
        <w:rPr>
          <w:rFonts w:ascii="黑体" w:hAnsi="黑体" w:eastAsia="黑体"/>
          <w:sz w:val="32"/>
          <w:szCs w:val="32"/>
        </w:rPr>
      </w:pPr>
      <w:r>
        <w:rPr>
          <w:rFonts w:ascii="黑体" w:hAnsi="黑体" w:eastAsia="黑体"/>
          <w:sz w:val="32"/>
          <w:szCs w:val="32"/>
        </w:rPr>
        <w:br w:type="page"/>
      </w:r>
    </w:p>
    <w:p w14:paraId="62FF0933">
      <w:pPr>
        <w:pStyle w:val="2"/>
        <w:spacing w:before="156" w:after="156"/>
      </w:pPr>
      <w:r>
        <w:rPr>
          <w:rFonts w:hint="eastAsia"/>
        </w:rPr>
        <w:t>项目背景</w:t>
      </w:r>
    </w:p>
    <w:p w14:paraId="3A38B3D9">
      <w:pPr>
        <w:pStyle w:val="3"/>
        <w:spacing w:before="156" w:after="156"/>
      </w:pPr>
      <w:r>
        <w:rPr>
          <w:rFonts w:hint="eastAsia"/>
        </w:rPr>
        <w:t>任务来源</w:t>
      </w:r>
    </w:p>
    <w:p w14:paraId="369F3D59">
      <w:pPr>
        <w:pStyle w:val="17"/>
        <w:ind w:firstLine="480"/>
      </w:pPr>
      <w:bookmarkStart w:id="0" w:name="_Hlk120513116"/>
      <w:r>
        <w:t>中国国家主席习近平2020年9月22日在第七十五届联合国大会一般性辩论上发表重要讲话，提出了我国应对气候变化新的国家自主贡献目标和长期愿景: 中国将提高国家自主贡献力度，采取更有力的政策和措施，CO</w:t>
      </w:r>
      <w:r>
        <w:rPr>
          <w:vertAlign w:val="subscript"/>
        </w:rPr>
        <w:t>2</w:t>
      </w:r>
      <w:r>
        <w:t>排放力争于2030年前达到峰值，努力争取2060年前实现碳中和。这是中国首次向全球明确实现碳中和的时间点，也是迄今为止各国中做出的最大减少全球变暖预期的气候承诺。</w:t>
      </w:r>
    </w:p>
    <w:p w14:paraId="4185609D">
      <w:pPr>
        <w:pStyle w:val="17"/>
        <w:ind w:firstLine="480"/>
      </w:pPr>
      <w:r>
        <w:rPr>
          <w:rFonts w:hint="eastAsia"/>
        </w:rPr>
        <w:t>环氧乙烷（</w:t>
      </w:r>
      <w:r>
        <w:t>EO）是重要的石油化工中间体，广泛用于合成乙二醇</w:t>
      </w:r>
      <w:r>
        <w:rPr>
          <w:rFonts w:hint="eastAsia"/>
        </w:rPr>
        <w:t>（</w:t>
      </w:r>
      <w:r>
        <w:t>EG）和其他多元醇类。</w:t>
      </w:r>
      <w:r>
        <w:rPr>
          <w:rFonts w:hint="eastAsia"/>
        </w:rPr>
        <w:t>工业上生产主要是采用乙烯与氧直接反应，其生产装置大部分都配套环氧乙烷水合法生产乙二醇。</w:t>
      </w:r>
      <w:r>
        <w:t>乙二醇的工艺</w:t>
      </w:r>
      <w:r>
        <w:rPr>
          <w:rFonts w:hint="eastAsia"/>
        </w:rPr>
        <w:t>除了</w:t>
      </w:r>
      <w:r>
        <w:t>乙烯路线</w:t>
      </w:r>
      <w:r>
        <w:rPr>
          <w:rFonts w:hint="eastAsia"/>
        </w:rPr>
        <w:t>外，还有</w:t>
      </w:r>
      <w:r>
        <w:t>合</w:t>
      </w:r>
      <w:r>
        <w:rPr>
          <w:rFonts w:hint="eastAsia"/>
        </w:rPr>
        <w:t>成气路线，乙烯路线是乙烯经氧化生产环氧乙烷</w:t>
      </w:r>
      <w:r>
        <w:t>，环氧乙烷水合生成乙二；合</w:t>
      </w:r>
      <w:r>
        <w:rPr>
          <w:rFonts w:hint="eastAsia"/>
        </w:rPr>
        <w:t>成气路线以煤为原料制备合成气或以净化焦炉气为原料制备合成气，经变换、脱硫脱碳、分离、合成、精制等工序，生产乙二醇。本标准研究乙烯路线法生产环氧乙烷和乙二醇的装置，</w:t>
      </w:r>
      <w:r>
        <w:t>合</w:t>
      </w:r>
      <w:r>
        <w:rPr>
          <w:rFonts w:hint="eastAsia"/>
        </w:rPr>
        <w:t>成气路线制乙二醇的装置碳排放在《现代煤化工行业碳排放基准》（</w:t>
      </w:r>
      <w:r>
        <w:t>T/CCECTA 0104-2023</w:t>
      </w:r>
      <w:r>
        <w:rPr>
          <w:rFonts w:hint="eastAsia"/>
        </w:rPr>
        <w:t>）已开展研究。</w:t>
      </w:r>
    </w:p>
    <w:p w14:paraId="50B028C9">
      <w:pPr>
        <w:pStyle w:val="17"/>
        <w:ind w:firstLine="480"/>
      </w:pPr>
      <w:r>
        <w:rPr>
          <w:rFonts w:hint="eastAsia"/>
        </w:rPr>
        <w:t>近年来，我国聚酯行业飞速发展，对乙二醇的需求迅速增长，我国环氧乙烷</w:t>
      </w:r>
      <w:r>
        <w:t>/乙二醇</w:t>
      </w:r>
      <w:r>
        <w:rPr>
          <w:rFonts w:hint="eastAsia"/>
        </w:rPr>
        <w:t>生产能力以及产量逐年上升。</w:t>
      </w:r>
      <w:r>
        <w:t>2019-023年，我国环氧乙烷产能保持增长</w:t>
      </w:r>
      <w:r>
        <w:rPr>
          <w:rFonts w:hint="eastAsia"/>
        </w:rPr>
        <w:t>态势，由供应平衡向供应过剩态势发展。预计</w:t>
      </w:r>
      <w:r>
        <w:t>2024-2025 年环氧乙烷新增产能将达1280kt/a。</w:t>
      </w:r>
      <w:r>
        <w:rPr>
          <w:rFonts w:hint="eastAsia"/>
        </w:rPr>
        <w:t>近几年我国乙二醇行业进入产能扩张周期，已由</w:t>
      </w:r>
      <w:r>
        <w:t>2015年乙二醇产能7450kt/a，</w:t>
      </w:r>
      <w:r>
        <w:rPr>
          <w:rFonts w:hint="eastAsia"/>
        </w:rPr>
        <w:t>增长</w:t>
      </w:r>
      <w:r>
        <w:t>到2023年</w:t>
      </w:r>
      <w:r>
        <w:rPr>
          <w:rFonts w:hint="eastAsia"/>
        </w:rPr>
        <w:t>的</w:t>
      </w:r>
      <w:r>
        <w:t>28772kt/a。从</w:t>
      </w:r>
      <w:r>
        <w:rPr>
          <w:rFonts w:hint="eastAsia"/>
        </w:rPr>
        <w:t>乙二醇的</w:t>
      </w:r>
      <w:r>
        <w:t>工艺路线上看，2023年乙烯法工艺总产能15602kt/a，</w:t>
      </w:r>
      <w:r>
        <w:rPr>
          <w:rFonts w:hint="eastAsia"/>
        </w:rPr>
        <w:t>占比</w:t>
      </w:r>
      <w:r>
        <w:t>54.23%。</w:t>
      </w:r>
    </w:p>
    <w:p w14:paraId="6976BDE2">
      <w:pPr>
        <w:pStyle w:val="17"/>
        <w:ind w:firstLine="480"/>
      </w:pPr>
      <w:r>
        <w:rPr>
          <w:rFonts w:hint="eastAsia"/>
        </w:rPr>
        <w:t>中国目前仍有50%的乙二醇依赖于进口，自给乙二醇主要来源于华东、华南地区乙烯氧化法制乙二醇和华北、西北地区煤制乙二醇。未来，中国乙二醇产能将进一步增长，且随着乙二醇下游产业的不断发展，乙二醇需求量也会持续增加。</w:t>
      </w:r>
    </w:p>
    <w:p w14:paraId="728EA52B">
      <w:pPr>
        <w:pStyle w:val="17"/>
        <w:ind w:firstLine="480"/>
      </w:pPr>
      <w:r>
        <w:rPr>
          <w:rFonts w:hint="eastAsia"/>
        </w:rPr>
        <w:t>中国乙二醇行业有发展潜力，但在“双碳”背景下也面临较大的减排潜力。</w:t>
      </w:r>
      <w:r>
        <w:t>2006</w:t>
      </w:r>
      <w:r>
        <w:rPr>
          <w:rFonts w:hint="eastAsia"/>
        </w:rPr>
        <w:t>年</w:t>
      </w:r>
      <w:r>
        <w:t>国家环保总局发布了《</w:t>
      </w:r>
      <w:r>
        <w:rPr>
          <w:rFonts w:hint="eastAsia"/>
        </w:rPr>
        <w:t>清洁生产标准 基本化学原料制造业 （环氧乙烷/乙二醇</w:t>
      </w:r>
      <w:r>
        <w:t>》（HJ/T 190-2006），</w:t>
      </w:r>
      <w:r>
        <w:rPr>
          <w:rFonts w:hint="eastAsia"/>
        </w:rPr>
        <w:t>该标准的对象是乙烯氧气直接氧化生产环氧乙烷</w:t>
      </w:r>
      <w:r>
        <w:t>/</w:t>
      </w:r>
      <w:r>
        <w:rPr>
          <w:rFonts w:hint="eastAsia"/>
        </w:rPr>
        <w:t>乙二醇企业</w:t>
      </w:r>
      <w:r>
        <w:t>，</w:t>
      </w:r>
      <w:r>
        <w:rPr>
          <w:rFonts w:hint="eastAsia"/>
        </w:rPr>
        <w:t>提出了</w:t>
      </w:r>
      <w:r>
        <w:t>环氧乙</w:t>
      </w:r>
      <w:r>
        <w:rPr>
          <w:rFonts w:hint="eastAsia"/>
        </w:rPr>
        <w:t>烷</w:t>
      </w:r>
      <w:r>
        <w:t>/乙二醇清洁生产技术要求，</w:t>
      </w:r>
      <w:r>
        <w:rPr>
          <w:rFonts w:hint="eastAsia"/>
        </w:rPr>
        <w:t>其中要求二氧化碳放空气必须回收才能达到清洁生产要求。</w:t>
      </w:r>
      <w:r>
        <w:t>环氧乙</w:t>
      </w:r>
      <w:r>
        <w:rPr>
          <w:rFonts w:hint="eastAsia"/>
        </w:rPr>
        <w:t>烷</w:t>
      </w:r>
      <w:r>
        <w:t>/乙二醇</w:t>
      </w:r>
      <w:r>
        <w:rPr>
          <w:rFonts w:hint="eastAsia"/>
        </w:rPr>
        <w:t>装置的二氧化碳放空气纯度高，产量大，回收条件优越，但是鉴于回收后制取产品的技术、种类、市场的限制，仍有较多企业未采用回收利用措施。除工业过程直接碳排放外，环氧乙烷/乙二醇装置的间接碳排放占比较大，由于装置的建成时间、节能措施等差别，造成间接排放量差别大。以上原因是目前现有装置的碳排放强度差别较大的主要原因，部分企业减排空间较大。为积极应对双碳目标，需要对标先进企业，探索降碳工艺路径。</w:t>
      </w:r>
    </w:p>
    <w:bookmarkEnd w:id="0"/>
    <w:p w14:paraId="57CF6B5E">
      <w:pPr>
        <w:pStyle w:val="17"/>
        <w:ind w:firstLine="480"/>
      </w:pPr>
      <w:r>
        <w:rPr>
          <w:rFonts w:hint="eastAsia"/>
        </w:rPr>
        <w:t>本标准制定的目的是通过划定环氧乙烷/乙二醇装置的单位产品碳排放限额的等级，促进企业对标行业先进碳排放水平，确保实现碳达峰、碳中和目标，推动我国环氧乙烷/乙二醇行业向高质量、绿色低碳发展新阶段的转型。</w:t>
      </w:r>
    </w:p>
    <w:p w14:paraId="2A83431E">
      <w:pPr>
        <w:pStyle w:val="3"/>
        <w:spacing w:before="156" w:after="156"/>
      </w:pPr>
      <w:r>
        <w:rPr>
          <w:rFonts w:hint="eastAsia"/>
        </w:rPr>
        <w:t>主要工作过程</w:t>
      </w:r>
    </w:p>
    <w:p w14:paraId="3DDB95D1">
      <w:pPr>
        <w:pStyle w:val="17"/>
        <w:ind w:firstLine="480"/>
      </w:pPr>
      <w:r>
        <w:rPr>
          <w:rFonts w:hint="eastAsia"/>
        </w:rPr>
        <w:t>本标准由</w:t>
      </w:r>
      <w:r>
        <w:t>中国石油和化学工业联合会</w:t>
      </w:r>
      <w:r>
        <w:rPr>
          <w:rFonts w:hint="eastAsia"/>
        </w:rPr>
        <w:t>归口并组织制定，</w:t>
      </w:r>
      <w:r>
        <w:rPr>
          <w:rFonts w:hint="eastAsia"/>
          <w:lang w:val="en-US" w:eastAsia="zh-CN"/>
        </w:rPr>
        <w:t>由</w:t>
      </w:r>
      <w:r>
        <w:rPr>
          <w:rFonts w:hint="eastAsia"/>
        </w:rPr>
        <w:t>生态环境部环境工程评估中心</w:t>
      </w:r>
      <w:r>
        <w:rPr>
          <w:rFonts w:hint="eastAsia"/>
          <w:lang w:val="en-US" w:eastAsia="zh-CN"/>
        </w:rPr>
        <w:t>等13家单位</w:t>
      </w:r>
      <w:r>
        <w:rPr>
          <w:rFonts w:hint="eastAsia"/>
        </w:rPr>
        <w:t>组织有关人员成立标准制定工作组，本标准于</w:t>
      </w:r>
      <w:r>
        <w:t>2023</w:t>
      </w:r>
      <w:r>
        <w:rPr>
          <w:rFonts w:hint="eastAsia"/>
        </w:rPr>
        <w:t>年</w:t>
      </w:r>
      <w:r>
        <w:t>7</w:t>
      </w:r>
      <w:r>
        <w:rPr>
          <w:rFonts w:hint="eastAsia"/>
        </w:rPr>
        <w:t>月启动编制。</w:t>
      </w:r>
      <w:bookmarkStart w:id="5" w:name="_GoBack"/>
      <w:bookmarkEnd w:id="5"/>
    </w:p>
    <w:p w14:paraId="63C9ADEF">
      <w:pPr>
        <w:pStyle w:val="17"/>
        <w:ind w:firstLine="480"/>
      </w:pPr>
      <w:r>
        <w:rPr>
          <w:rFonts w:hint="eastAsia"/>
        </w:rPr>
        <w:t>主要的工作过程如下：</w:t>
      </w:r>
    </w:p>
    <w:p w14:paraId="63E5669C">
      <w:pPr>
        <w:pStyle w:val="17"/>
        <w:numPr>
          <w:ilvl w:val="0"/>
          <w:numId w:val="2"/>
        </w:numPr>
        <w:ind w:firstLineChars="0"/>
      </w:pPr>
      <w:r>
        <w:rPr>
          <w:rFonts w:hint="eastAsia"/>
        </w:rPr>
        <w:t>成立标准编制小组</w:t>
      </w:r>
    </w:p>
    <w:p w14:paraId="2A1861A4">
      <w:pPr>
        <w:pStyle w:val="17"/>
        <w:ind w:firstLine="480"/>
      </w:pPr>
      <w:r>
        <w:rPr>
          <w:rFonts w:hint="eastAsia"/>
        </w:rPr>
        <w:t>2</w:t>
      </w:r>
      <w:r>
        <w:t>023</w:t>
      </w:r>
      <w:r>
        <w:rPr>
          <w:rFonts w:hint="eastAsia"/>
        </w:rPr>
        <w:t>年</w:t>
      </w:r>
      <w:r>
        <w:t>7</w:t>
      </w:r>
      <w:r>
        <w:rPr>
          <w:rFonts w:hint="eastAsia"/>
        </w:rPr>
        <w:t>月，成立标准编制小组，按照《标准化工作导则 第1部分：标准化文件的结构和起草规则》（</w:t>
      </w:r>
      <w:r>
        <w:t>GB/T 1.1-20</w:t>
      </w:r>
      <w:r>
        <w:rPr>
          <w:rFonts w:hint="eastAsia"/>
        </w:rPr>
        <w:t>20）要求，制定工作计划并开展标准编制前期研究工作。</w:t>
      </w:r>
    </w:p>
    <w:p w14:paraId="072267A3">
      <w:pPr>
        <w:pStyle w:val="17"/>
        <w:numPr>
          <w:ilvl w:val="0"/>
          <w:numId w:val="2"/>
        </w:numPr>
        <w:ind w:firstLineChars="0"/>
      </w:pPr>
      <w:r>
        <w:rPr>
          <w:rFonts w:hint="eastAsia"/>
        </w:rPr>
        <w:t>查询国内外相关标准和文献资料</w:t>
      </w:r>
    </w:p>
    <w:p w14:paraId="740BECB5">
      <w:pPr>
        <w:pStyle w:val="17"/>
        <w:ind w:firstLine="480"/>
      </w:pPr>
      <w:r>
        <w:rPr>
          <w:rFonts w:hint="eastAsia"/>
        </w:rPr>
        <w:t>课题组对国内环氧乙烷/乙二醇装置碳排放估算方法、碳排放特征和强度、碳减排措施、碳排放限额等相关资料和情况开展研究，主要包括：国内外相关标准的查阅；国内外环氧乙烷/乙二醇装置碳排放现状相关文献及研究成果。在文献梳理和初步调研的基础上，结合我国乙烯装置碳排放现状，制定了标准编制的基本原则和技术方法。</w:t>
      </w:r>
    </w:p>
    <w:p w14:paraId="4B2B0393">
      <w:pPr>
        <w:pStyle w:val="17"/>
        <w:numPr>
          <w:ilvl w:val="0"/>
          <w:numId w:val="2"/>
        </w:numPr>
        <w:ind w:firstLineChars="0"/>
      </w:pPr>
      <w:r>
        <w:rPr>
          <w:rFonts w:hint="eastAsia"/>
        </w:rPr>
        <w:t>编写开题报告并召开开题论证会</w:t>
      </w:r>
    </w:p>
    <w:p w14:paraId="242EE257">
      <w:pPr>
        <w:pStyle w:val="17"/>
        <w:ind w:firstLine="480"/>
      </w:pPr>
      <w:r>
        <w:t>2023</w:t>
      </w:r>
      <w:r>
        <w:rPr>
          <w:rFonts w:hint="eastAsia"/>
        </w:rPr>
        <w:t>年</w:t>
      </w:r>
      <w:r>
        <w:t>9</w:t>
      </w:r>
      <w:r>
        <w:rPr>
          <w:rFonts w:hint="eastAsia"/>
        </w:rPr>
        <w:t>月</w:t>
      </w:r>
      <w:r>
        <w:t>19</w:t>
      </w:r>
      <w:r>
        <w:rPr>
          <w:rFonts w:hint="eastAsia"/>
        </w:rPr>
        <w:t>日，在北京组织召开了项目的开题报告论证会，课题组汇报了标准编制的目的意义、研究思路、技术方法、内容框架和实施计划等重要内容，听取了与会专家的意见和建议。</w:t>
      </w:r>
    </w:p>
    <w:p w14:paraId="29A4EFD2">
      <w:pPr>
        <w:pStyle w:val="17"/>
        <w:numPr>
          <w:ilvl w:val="0"/>
          <w:numId w:val="2"/>
        </w:numPr>
        <w:ind w:firstLineChars="0"/>
      </w:pPr>
      <w:r>
        <w:rPr>
          <w:rFonts w:hint="eastAsia"/>
        </w:rPr>
        <w:t>环氧乙烷/乙二醇装置碳排放核算方法研究和碳排放数据收集</w:t>
      </w:r>
    </w:p>
    <w:p w14:paraId="20D4955F">
      <w:pPr>
        <w:pStyle w:val="17"/>
        <w:ind w:firstLine="480"/>
        <w:rPr>
          <w:rStyle w:val="18"/>
        </w:rPr>
      </w:pPr>
      <w:r>
        <w:rPr>
          <w:rStyle w:val="18"/>
        </w:rPr>
        <w:t>2023</w:t>
      </w:r>
      <w:r>
        <w:rPr>
          <w:rStyle w:val="18"/>
          <w:rFonts w:hint="eastAsia"/>
        </w:rPr>
        <w:t>年</w:t>
      </w:r>
      <w:r>
        <w:rPr>
          <w:rStyle w:val="18"/>
        </w:rPr>
        <w:t>12</w:t>
      </w:r>
      <w:r>
        <w:rPr>
          <w:rStyle w:val="18"/>
          <w:rFonts w:hint="eastAsia"/>
        </w:rPr>
        <w:t>月，项目组在北京召开研讨会，在深入研究欧盟</w:t>
      </w:r>
      <w:r>
        <w:rPr>
          <w:rFonts w:hint="eastAsia"/>
        </w:rPr>
        <w:t>环氧乙烷/乙二醇</w:t>
      </w:r>
      <w:r>
        <w:rPr>
          <w:rStyle w:val="18"/>
          <w:rFonts w:hint="eastAsia"/>
        </w:rPr>
        <w:t>行业碳排放核算方法的基础上，编制环氧乙烷/乙二醇碳排放基准数据收集表。根据行业发展报告中的企业分布数据，经讨论将数据收集分发给各有中石化、中石油、盛虹、恒力、浙石化等企业乙，开展数据收集工作。</w:t>
      </w:r>
    </w:p>
    <w:p w14:paraId="7FAD59B9">
      <w:pPr>
        <w:pStyle w:val="17"/>
        <w:ind w:firstLine="480"/>
        <w:rPr>
          <w:rStyle w:val="18"/>
        </w:rPr>
      </w:pPr>
      <w:r>
        <w:rPr>
          <w:rStyle w:val="18"/>
        </w:rPr>
        <w:t>2023</w:t>
      </w:r>
      <w:r>
        <w:rPr>
          <w:rStyle w:val="18"/>
          <w:rFonts w:hint="eastAsia"/>
        </w:rPr>
        <w:t>年</w:t>
      </w:r>
      <w:r>
        <w:rPr>
          <w:rStyle w:val="18"/>
        </w:rPr>
        <w:t>12</w:t>
      </w:r>
      <w:r>
        <w:rPr>
          <w:rStyle w:val="18"/>
          <w:rFonts w:hint="eastAsia"/>
        </w:rPr>
        <w:t>月</w:t>
      </w:r>
      <w:r>
        <w:rPr>
          <w:rStyle w:val="18"/>
        </w:rPr>
        <w:t>~2024</w:t>
      </w:r>
      <w:r>
        <w:rPr>
          <w:rStyle w:val="18"/>
          <w:rFonts w:hint="eastAsia"/>
        </w:rPr>
        <w:t>年</w:t>
      </w:r>
      <w:r>
        <w:rPr>
          <w:rStyle w:val="18"/>
        </w:rPr>
        <w:t>6</w:t>
      </w:r>
      <w:r>
        <w:rPr>
          <w:rStyle w:val="18"/>
          <w:rFonts w:hint="eastAsia"/>
        </w:rPr>
        <w:t>月，先后赴中石化扬子石化、中石化镇海炼化、中石化海南炼化等企业调研，沟通企业在进行碳排放核算及填写基准数据收集表过程中存在的问题；了解企业目前采取的减污降碳措施，二氧化碳回收、运输和利用方式等。根据现场调研反馈，完善、更新基准数据收集表，继续数据收集工作。</w:t>
      </w:r>
    </w:p>
    <w:p w14:paraId="5067D0E6">
      <w:pPr>
        <w:pStyle w:val="17"/>
        <w:numPr>
          <w:ilvl w:val="0"/>
          <w:numId w:val="2"/>
        </w:numPr>
        <w:ind w:firstLineChars="0"/>
      </w:pPr>
      <w:r>
        <w:rPr>
          <w:rFonts w:hint="eastAsia"/>
        </w:rPr>
        <w:t>编制初稿并组织讨论</w:t>
      </w:r>
    </w:p>
    <w:p w14:paraId="5231CEC3">
      <w:pPr>
        <w:pStyle w:val="17"/>
        <w:ind w:firstLine="480"/>
        <w:rPr>
          <w:rStyle w:val="18"/>
        </w:rPr>
      </w:pPr>
      <w:r>
        <w:rPr>
          <w:rStyle w:val="18"/>
          <w:rFonts w:hint="eastAsia"/>
        </w:rPr>
        <w:t>2</w:t>
      </w:r>
      <w:r>
        <w:rPr>
          <w:rStyle w:val="18"/>
        </w:rPr>
        <w:t>024年9月~2024</w:t>
      </w:r>
      <w:r>
        <w:rPr>
          <w:rStyle w:val="18"/>
          <w:rFonts w:hint="eastAsia"/>
        </w:rPr>
        <w:t>年</w:t>
      </w:r>
      <w:r>
        <w:rPr>
          <w:rStyle w:val="18"/>
        </w:rPr>
        <w:t>10</w:t>
      </w:r>
      <w:r>
        <w:rPr>
          <w:rStyle w:val="18"/>
          <w:rFonts w:hint="eastAsia"/>
        </w:rPr>
        <w:t>月，工作组根据前期调研与研究成果，整理数据，剔除明显不合理数据，初步完成了标准草案的编制，期间邀请行业专家针对标准草案开展了多次线上线下交流讨论会，针对标准中的主要条目和内容开展详细的研讨。</w:t>
      </w:r>
    </w:p>
    <w:p w14:paraId="1C5621CF">
      <w:pPr>
        <w:pStyle w:val="17"/>
        <w:numPr>
          <w:ilvl w:val="0"/>
          <w:numId w:val="2"/>
        </w:numPr>
        <w:ind w:firstLineChars="0"/>
      </w:pPr>
      <w:r>
        <w:rPr>
          <w:rFonts w:hint="eastAsia"/>
        </w:rPr>
        <w:t>行程标准征求意见稿</w:t>
      </w:r>
    </w:p>
    <w:p w14:paraId="17E4DEC3">
      <w:pPr>
        <w:pStyle w:val="17"/>
        <w:ind w:firstLine="480"/>
        <w:rPr>
          <w:rStyle w:val="18"/>
        </w:rPr>
      </w:pPr>
      <w:r>
        <w:rPr>
          <w:rStyle w:val="18"/>
          <w:rFonts w:hint="eastAsia"/>
        </w:rPr>
        <w:t>2</w:t>
      </w:r>
      <w:r>
        <w:rPr>
          <w:rStyle w:val="18"/>
        </w:rPr>
        <w:t>024年10月</w:t>
      </w:r>
      <w:r>
        <w:rPr>
          <w:rStyle w:val="18"/>
          <w:rFonts w:hint="eastAsia"/>
        </w:rPr>
        <w:t>，课题组针对标准适用范围、术语定义、技术要求、统计范围和计算方法、减污减碳管理及措施等进行逐条讨论与校对，编制形成《环氧乙烷/乙二醇装置碳排放基准》（征求意见稿）及编制说明。</w:t>
      </w:r>
    </w:p>
    <w:p w14:paraId="1749A779">
      <w:pPr>
        <w:pStyle w:val="2"/>
        <w:spacing w:before="156" w:after="156"/>
        <w:rPr>
          <w:bCs/>
          <w:smallCaps/>
          <w:kern w:val="2"/>
          <w:sz w:val="36"/>
          <w:szCs w:val="28"/>
        </w:rPr>
      </w:pPr>
      <w:r>
        <w:rPr>
          <w:rFonts w:hint="eastAsia"/>
          <w:bCs/>
          <w:smallCaps/>
          <w:kern w:val="2"/>
          <w:sz w:val="36"/>
          <w:szCs w:val="28"/>
        </w:rPr>
        <w:t>标准制定的必要性和意义</w:t>
      </w:r>
    </w:p>
    <w:p w14:paraId="52CEAB74">
      <w:pPr>
        <w:pStyle w:val="17"/>
        <w:ind w:firstLine="480"/>
      </w:pPr>
      <w:r>
        <w:t>《中共中央 国务院关于完整准确全面贯彻新发展理念做好碳达峰碳中和工作的意见》</w:t>
      </w:r>
      <w:r>
        <w:rPr>
          <w:rFonts w:hint="eastAsia"/>
        </w:rPr>
        <w:t>（以下简称《意见》）</w:t>
      </w:r>
      <w:r>
        <w:t>提出“建立健全碳达峰、碳中和标准计量体系”，以标准体系的建立统筹碳排放标准有序发展。在具体标准制修订上，《意见》提出</w:t>
      </w:r>
      <w:r>
        <w:rPr>
          <w:rFonts w:hint="eastAsia"/>
          <w:b/>
          <w:bCs/>
        </w:rPr>
        <w:t>“制定重点行业和产品温室气体排放标准，完善低碳产品标准标识制度。</w:t>
      </w:r>
      <w:r>
        <w:rPr>
          <w:rFonts w:hint="eastAsia"/>
        </w:rPr>
        <w:t>”《意见》提出“积极参与相关国际标准制定，加强标准国际衔接”，在全球碳排放标准发展中贡献中国力量。此外，《减污降碳协同增效实施方案》也提出“研究制定重点行业温室气体排放标准”的要求。</w:t>
      </w:r>
    </w:p>
    <w:p w14:paraId="79F96EE2">
      <w:pPr>
        <w:pStyle w:val="17"/>
        <w:ind w:firstLine="480"/>
      </w:pPr>
      <w:r>
        <w:rPr>
          <w:rFonts w:hint="eastAsia"/>
        </w:rPr>
        <w:t>标准是经济活动和社会发展的重要支撑，做好碳核算和减污降碳排放标准的研制工作，突出标准引领作用，充分发挥碳排放标准系统协调与整体推进作用，能够有效推动我国低碳发展。环氧乙烷/乙二醇装置作为高碳排放装置，更应该贯彻落实《中共中央</w:t>
      </w:r>
      <w:r>
        <w:t xml:space="preserve"> 国务院关于完整准确全面贯彻新发展理念做好碳达峰碳中和工作的意见</w:t>
      </w:r>
      <w:r>
        <w:rPr>
          <w:rFonts w:hint="eastAsia"/>
        </w:rPr>
        <w:t>》要求，积极开展碳排放标准制订工作，有效遏制“两高”项目盲目发展，推动环氧乙烷/乙二醇装置绿色低碳转型、引领推进高质量发展，确定如期实现碳达峰目标。</w:t>
      </w:r>
    </w:p>
    <w:p w14:paraId="75842C50">
      <w:pPr>
        <w:pStyle w:val="17"/>
        <w:ind w:firstLine="480"/>
      </w:pPr>
      <w:r>
        <w:rPr>
          <w:rFonts w:hint="eastAsia"/>
        </w:rPr>
        <w:t>对拟建、在建项目，应对照减污降碳标杆水平建设实施，推动减污降碳水平应提尽提，力争全面达到标杆水平。对能效低于本行业基准水平的存量项目，合理设置政策实施过渡期，引导企业有序开展减污降碳技术改造，提高生产运行效率，坚决依法依规淘汰落后产能、落后工艺、落后产品。加强绿色低碳工艺技术装备推广应用，促进形成强大国内市场。</w:t>
      </w:r>
    </w:p>
    <w:p w14:paraId="10255B82">
      <w:pPr>
        <w:pStyle w:val="17"/>
        <w:ind w:firstLine="480"/>
      </w:pPr>
      <w:r>
        <w:rPr>
          <w:rFonts w:hint="eastAsia"/>
        </w:rPr>
        <w:t>综上，研究和制定环氧乙烷/乙二醇装置碳排放基准既是碳达峰顶层设计文件的要求，亦是现实实现“双碳”目标的具体重要举措。</w:t>
      </w:r>
    </w:p>
    <w:p w14:paraId="2B8971AB">
      <w:pPr>
        <w:pStyle w:val="2"/>
        <w:spacing w:before="156" w:after="156"/>
      </w:pPr>
      <w:r>
        <w:rPr>
          <w:rFonts w:hint="eastAsia"/>
        </w:rPr>
        <w:t>行业概况</w:t>
      </w:r>
    </w:p>
    <w:p w14:paraId="0ACCD778">
      <w:pPr>
        <w:pStyle w:val="3"/>
        <w:spacing w:before="156" w:after="156"/>
      </w:pPr>
      <w:r>
        <w:rPr>
          <w:rFonts w:hint="eastAsia"/>
        </w:rPr>
        <w:t>环氧乙烷/乙二醇行业发展现状</w:t>
      </w:r>
    </w:p>
    <w:p w14:paraId="10795D8F">
      <w:pPr>
        <w:pStyle w:val="17"/>
        <w:ind w:firstLine="480"/>
      </w:pPr>
      <w:bookmarkStart w:id="1" w:name="_Hlk120513186"/>
      <w:r>
        <w:rPr>
          <w:rFonts w:hint="eastAsia"/>
        </w:rPr>
        <w:t>近年来我国聚酯行业飞速发展，对乙二醇的需求迅速增长，我国乙二醇行业进入产能扩张周期，产能和产量持续快速增长，</w:t>
      </w:r>
      <w:r>
        <w:t>2015年乙二醇产能仅7 450kt /a，到2023年已达到28772 kt /a，年均复</w:t>
      </w:r>
      <w:r>
        <w:rPr>
          <w:rFonts w:hint="eastAsia"/>
        </w:rPr>
        <w:t>合增长率达到</w:t>
      </w:r>
      <w:r>
        <w:t>18.40%。2022年投产的有</w:t>
      </w:r>
      <w:r>
        <w:rPr>
          <w:rFonts w:hint="eastAsia"/>
        </w:rPr>
        <w:t>浙江石油化工有限公司（三套80万吨/年）、中国石油化工股份有限公司镇海炼化分公司二期</w:t>
      </w:r>
      <w:r>
        <w:t>，2023年，盛虹炼化（连云港）有限公司、中国</w:t>
      </w:r>
      <w:r>
        <w:rPr>
          <w:rFonts w:hint="eastAsia"/>
        </w:rPr>
        <w:t>石化海南炼油化工有限公司和三江化工有限公司等大型炼化一体化装置投产，新增产能380万吨。</w:t>
      </w:r>
    </w:p>
    <w:p w14:paraId="3DC3F78E">
      <w:pPr>
        <w:pStyle w:val="17"/>
        <w:ind w:firstLine="480"/>
      </w:pPr>
      <w:r>
        <w:rPr>
          <w:rFonts w:hint="eastAsia"/>
        </w:rPr>
        <w:t>截至2</w:t>
      </w:r>
      <w:r>
        <w:t>023</w:t>
      </w:r>
      <w:r>
        <w:rPr>
          <w:rFonts w:hint="eastAsia"/>
        </w:rPr>
        <w:t>年底，我国环氧乙烷/乙二醇装置采用乙烯氧化法路线的生产乙二醇的总产能达到了1365万吨/年，共计39家企业。其中石油4家、中石化12家、合资企业9家、地方国企2家、民企15家，各类型企业产能占比见图1，目前民企环氧乙烷/乙二醇装置产能占比最高。新建装置的规模明显增大，早期装置规模多为20万吨以下，近几年新建装置规模扩增为80万吨及以上，50万吨/年以上规模企业共计8家，详见表1。</w:t>
      </w:r>
    </w:p>
    <w:p w14:paraId="208E8D7C">
      <w:pPr>
        <w:pStyle w:val="17"/>
        <w:ind w:firstLine="480"/>
        <w:jc w:val="center"/>
      </w:pPr>
      <w:r>
        <w:drawing>
          <wp:inline distT="0" distB="0" distL="0" distR="0">
            <wp:extent cx="3133725" cy="19526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33725" cy="1952625"/>
                    </a:xfrm>
                    <a:prstGeom prst="rect">
                      <a:avLst/>
                    </a:prstGeom>
                  </pic:spPr>
                </pic:pic>
              </a:graphicData>
            </a:graphic>
          </wp:inline>
        </w:drawing>
      </w:r>
    </w:p>
    <w:p w14:paraId="79F2B88F">
      <w:pPr>
        <w:pStyle w:val="17"/>
        <w:ind w:firstLine="480"/>
        <w:jc w:val="center"/>
      </w:pPr>
      <w:r>
        <w:rPr>
          <w:rFonts w:hint="eastAsia"/>
        </w:rPr>
        <w:t>图1</w:t>
      </w:r>
      <w:r>
        <w:t xml:space="preserve">  </w:t>
      </w:r>
      <w:r>
        <w:rPr>
          <w:rFonts w:hint="eastAsia"/>
        </w:rPr>
        <w:t>各类型企业产能占比</w:t>
      </w:r>
    </w:p>
    <w:p w14:paraId="354CA0EA">
      <w:pPr>
        <w:pStyle w:val="17"/>
        <w:ind w:firstLine="480"/>
        <w:jc w:val="center"/>
      </w:pPr>
      <w:r>
        <w:rPr>
          <w:rFonts w:hint="eastAsia"/>
        </w:rPr>
        <w:t>表</w:t>
      </w:r>
      <w:r>
        <w:t xml:space="preserve">-1    </w:t>
      </w:r>
      <w:r>
        <w:rPr>
          <w:rFonts w:hint="eastAsia"/>
        </w:rPr>
        <w:t>2</w:t>
      </w:r>
      <w:r>
        <w:t>023</w:t>
      </w:r>
      <w:r>
        <w:rPr>
          <w:rFonts w:hint="eastAsia"/>
        </w:rPr>
        <w:t>年中国环氧乙烷/乙二醇行业主要生产企业产能统计</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3332"/>
        <w:gridCol w:w="1085"/>
        <w:gridCol w:w="1597"/>
        <w:gridCol w:w="1650"/>
      </w:tblGrid>
      <w:tr w14:paraId="5D27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63FFFE92">
            <w:pPr>
              <w:pStyle w:val="20"/>
            </w:pPr>
            <w:r>
              <w:rPr>
                <w:rFonts w:hint="eastAsia"/>
              </w:rPr>
              <w:t>序号</w:t>
            </w:r>
          </w:p>
        </w:tc>
        <w:tc>
          <w:tcPr>
            <w:tcW w:w="3332" w:type="dxa"/>
            <w:vAlign w:val="center"/>
          </w:tcPr>
          <w:p w14:paraId="17C44371">
            <w:pPr>
              <w:pStyle w:val="20"/>
            </w:pPr>
            <w:r>
              <w:rPr>
                <w:rFonts w:hint="eastAsia"/>
              </w:rPr>
              <w:t>企业名称</w:t>
            </w:r>
          </w:p>
        </w:tc>
        <w:tc>
          <w:tcPr>
            <w:tcW w:w="1085" w:type="dxa"/>
            <w:vAlign w:val="center"/>
          </w:tcPr>
          <w:p w14:paraId="078688D2">
            <w:pPr>
              <w:pStyle w:val="20"/>
            </w:pPr>
            <w:r>
              <w:rPr>
                <w:rFonts w:hint="eastAsia"/>
              </w:rPr>
              <w:t>乙二醇产能</w:t>
            </w:r>
          </w:p>
          <w:p w14:paraId="46CDFCD4">
            <w:pPr>
              <w:pStyle w:val="20"/>
            </w:pPr>
            <w:r>
              <w:rPr>
                <w:rFonts w:hint="eastAsia"/>
              </w:rPr>
              <w:t>（万吨/年）</w:t>
            </w:r>
          </w:p>
        </w:tc>
        <w:tc>
          <w:tcPr>
            <w:tcW w:w="1597" w:type="dxa"/>
            <w:vAlign w:val="center"/>
          </w:tcPr>
          <w:p w14:paraId="619413C8">
            <w:pPr>
              <w:pStyle w:val="20"/>
            </w:pPr>
            <w:r>
              <w:rPr>
                <w:rFonts w:hint="eastAsia"/>
              </w:rPr>
              <w:t>投产年份</w:t>
            </w:r>
          </w:p>
        </w:tc>
        <w:tc>
          <w:tcPr>
            <w:tcW w:w="1650" w:type="dxa"/>
            <w:vAlign w:val="center"/>
          </w:tcPr>
          <w:p w14:paraId="08B9BFC4">
            <w:pPr>
              <w:pStyle w:val="20"/>
            </w:pPr>
            <w:r>
              <w:rPr>
                <w:rFonts w:hint="eastAsia"/>
              </w:rPr>
              <w:t>工艺/原料路线</w:t>
            </w:r>
          </w:p>
        </w:tc>
      </w:tr>
      <w:tr w14:paraId="0E78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3B191818">
            <w:pPr>
              <w:pStyle w:val="20"/>
            </w:pPr>
            <w:r>
              <w:rPr>
                <w:rFonts w:hint="eastAsia"/>
              </w:rPr>
              <w:t>1</w:t>
            </w:r>
          </w:p>
        </w:tc>
        <w:tc>
          <w:tcPr>
            <w:tcW w:w="3332" w:type="dxa"/>
            <w:vAlign w:val="center"/>
          </w:tcPr>
          <w:p w14:paraId="3BD9787F">
            <w:pPr>
              <w:pStyle w:val="20"/>
            </w:pPr>
            <w:r>
              <w:rPr>
                <w:rFonts w:hint="eastAsia"/>
              </w:rPr>
              <w:t>中国石油化工股份有限公司镇海炼化分公司</w:t>
            </w:r>
            <w:r>
              <w:t>( 一期)</w:t>
            </w:r>
          </w:p>
        </w:tc>
        <w:tc>
          <w:tcPr>
            <w:tcW w:w="1085" w:type="dxa"/>
            <w:vAlign w:val="center"/>
          </w:tcPr>
          <w:p w14:paraId="0CFEF8D1">
            <w:pPr>
              <w:pStyle w:val="20"/>
            </w:pPr>
            <w:r>
              <w:t>65</w:t>
            </w:r>
          </w:p>
        </w:tc>
        <w:tc>
          <w:tcPr>
            <w:tcW w:w="1597" w:type="dxa"/>
            <w:vAlign w:val="center"/>
          </w:tcPr>
          <w:p w14:paraId="1CDFAD45">
            <w:pPr>
              <w:pStyle w:val="20"/>
            </w:pPr>
            <w:r>
              <w:t>2010</w:t>
            </w:r>
          </w:p>
        </w:tc>
        <w:tc>
          <w:tcPr>
            <w:tcW w:w="1650" w:type="dxa"/>
            <w:vAlign w:val="center"/>
          </w:tcPr>
          <w:p w14:paraId="6CB4EFAF">
            <w:pPr>
              <w:pStyle w:val="20"/>
            </w:pPr>
            <w:r>
              <w:rPr>
                <w:rFonts w:hint="eastAsia"/>
              </w:rPr>
              <w:t>陶氏</w:t>
            </w:r>
          </w:p>
        </w:tc>
      </w:tr>
      <w:tr w14:paraId="6767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6F4156E5">
            <w:pPr>
              <w:pStyle w:val="20"/>
            </w:pPr>
            <w:r>
              <w:rPr>
                <w:rFonts w:hint="eastAsia"/>
              </w:rPr>
              <w:t>2</w:t>
            </w:r>
          </w:p>
        </w:tc>
        <w:tc>
          <w:tcPr>
            <w:tcW w:w="3332" w:type="dxa"/>
            <w:vAlign w:val="center"/>
          </w:tcPr>
          <w:p w14:paraId="1F6F2F81">
            <w:pPr>
              <w:pStyle w:val="20"/>
            </w:pPr>
            <w:r>
              <w:rPr>
                <w:rFonts w:hint="eastAsia"/>
              </w:rPr>
              <w:t>中国石油化工股份有限公司镇海炼化分公司</w:t>
            </w:r>
            <w:r>
              <w:t>( 二期)</w:t>
            </w:r>
          </w:p>
        </w:tc>
        <w:tc>
          <w:tcPr>
            <w:tcW w:w="1085" w:type="dxa"/>
            <w:vAlign w:val="center"/>
          </w:tcPr>
          <w:p w14:paraId="0578F91C">
            <w:pPr>
              <w:pStyle w:val="20"/>
            </w:pPr>
            <w:r>
              <w:t>80</w:t>
            </w:r>
          </w:p>
        </w:tc>
        <w:tc>
          <w:tcPr>
            <w:tcW w:w="1597" w:type="dxa"/>
            <w:vAlign w:val="center"/>
          </w:tcPr>
          <w:p w14:paraId="70C3E729">
            <w:pPr>
              <w:pStyle w:val="20"/>
            </w:pPr>
            <w:r>
              <w:t>2022</w:t>
            </w:r>
          </w:p>
        </w:tc>
        <w:tc>
          <w:tcPr>
            <w:tcW w:w="1650" w:type="dxa"/>
            <w:vAlign w:val="center"/>
          </w:tcPr>
          <w:p w14:paraId="1186D67B">
            <w:pPr>
              <w:pStyle w:val="20"/>
            </w:pPr>
            <w:r>
              <w:rPr>
                <w:rFonts w:hint="eastAsia"/>
              </w:rPr>
              <w:t>陶氏</w:t>
            </w:r>
          </w:p>
        </w:tc>
      </w:tr>
      <w:tr w14:paraId="7753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10FBB411">
            <w:pPr>
              <w:pStyle w:val="20"/>
            </w:pPr>
            <w:r>
              <w:rPr>
                <w:rFonts w:hint="eastAsia"/>
              </w:rPr>
              <w:t>3</w:t>
            </w:r>
          </w:p>
        </w:tc>
        <w:tc>
          <w:tcPr>
            <w:tcW w:w="3332" w:type="dxa"/>
            <w:vAlign w:val="center"/>
          </w:tcPr>
          <w:p w14:paraId="26246570">
            <w:pPr>
              <w:pStyle w:val="20"/>
            </w:pPr>
            <w:r>
              <w:rPr>
                <w:rFonts w:hint="eastAsia"/>
              </w:rPr>
              <w:t>恒力石化股份有限公司</w:t>
            </w:r>
            <w:r>
              <w:t>1#</w:t>
            </w:r>
          </w:p>
        </w:tc>
        <w:tc>
          <w:tcPr>
            <w:tcW w:w="1085" w:type="dxa"/>
            <w:vAlign w:val="center"/>
          </w:tcPr>
          <w:p w14:paraId="1C6CA35D">
            <w:pPr>
              <w:pStyle w:val="20"/>
            </w:pPr>
            <w:r>
              <w:t>90</w:t>
            </w:r>
          </w:p>
        </w:tc>
        <w:tc>
          <w:tcPr>
            <w:tcW w:w="1597" w:type="dxa"/>
            <w:vAlign w:val="center"/>
          </w:tcPr>
          <w:p w14:paraId="3DEAFF5C">
            <w:pPr>
              <w:pStyle w:val="20"/>
            </w:pPr>
            <w:r>
              <w:t>2020</w:t>
            </w:r>
          </w:p>
        </w:tc>
        <w:tc>
          <w:tcPr>
            <w:tcW w:w="1650" w:type="dxa"/>
            <w:vAlign w:val="center"/>
          </w:tcPr>
          <w:p w14:paraId="07A04A1A">
            <w:pPr>
              <w:pStyle w:val="20"/>
            </w:pPr>
            <w:r>
              <w:t>SD</w:t>
            </w:r>
            <w:r>
              <w:rPr>
                <w:rFonts w:hint="eastAsia"/>
              </w:rPr>
              <w:t>氧气法</w:t>
            </w:r>
          </w:p>
        </w:tc>
      </w:tr>
      <w:tr w14:paraId="04ADD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70FD6515">
            <w:pPr>
              <w:pStyle w:val="20"/>
            </w:pPr>
            <w:r>
              <w:rPr>
                <w:rFonts w:hint="eastAsia"/>
              </w:rPr>
              <w:t>4</w:t>
            </w:r>
          </w:p>
        </w:tc>
        <w:tc>
          <w:tcPr>
            <w:tcW w:w="3332" w:type="dxa"/>
            <w:vAlign w:val="center"/>
          </w:tcPr>
          <w:p w14:paraId="44910D98">
            <w:pPr>
              <w:pStyle w:val="20"/>
            </w:pPr>
            <w:r>
              <w:rPr>
                <w:rFonts w:hint="eastAsia"/>
              </w:rPr>
              <w:t>恒力石化股份有限公司</w:t>
            </w:r>
            <w:r>
              <w:t>2#</w:t>
            </w:r>
          </w:p>
        </w:tc>
        <w:tc>
          <w:tcPr>
            <w:tcW w:w="1085" w:type="dxa"/>
            <w:vAlign w:val="center"/>
          </w:tcPr>
          <w:p w14:paraId="0B36AA9A">
            <w:pPr>
              <w:pStyle w:val="20"/>
            </w:pPr>
            <w:r>
              <w:t>90</w:t>
            </w:r>
          </w:p>
        </w:tc>
        <w:tc>
          <w:tcPr>
            <w:tcW w:w="1597" w:type="dxa"/>
            <w:vAlign w:val="center"/>
          </w:tcPr>
          <w:p w14:paraId="41EDF649">
            <w:pPr>
              <w:pStyle w:val="20"/>
            </w:pPr>
            <w:r>
              <w:t>2020</w:t>
            </w:r>
          </w:p>
        </w:tc>
        <w:tc>
          <w:tcPr>
            <w:tcW w:w="1650" w:type="dxa"/>
            <w:vAlign w:val="center"/>
          </w:tcPr>
          <w:p w14:paraId="69F457FF">
            <w:pPr>
              <w:pStyle w:val="20"/>
            </w:pPr>
            <w:r>
              <w:t>SD</w:t>
            </w:r>
            <w:r>
              <w:rPr>
                <w:rFonts w:hint="eastAsia"/>
              </w:rPr>
              <w:t>氧气法</w:t>
            </w:r>
          </w:p>
        </w:tc>
      </w:tr>
      <w:tr w14:paraId="3E2A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3998E80A">
            <w:pPr>
              <w:pStyle w:val="20"/>
            </w:pPr>
            <w:r>
              <w:rPr>
                <w:rFonts w:hint="eastAsia"/>
              </w:rPr>
              <w:t>5</w:t>
            </w:r>
          </w:p>
        </w:tc>
        <w:tc>
          <w:tcPr>
            <w:tcW w:w="3332" w:type="dxa"/>
            <w:vAlign w:val="center"/>
          </w:tcPr>
          <w:p w14:paraId="5FBB6DB8">
            <w:pPr>
              <w:pStyle w:val="20"/>
            </w:pPr>
            <w:r>
              <w:rPr>
                <w:rFonts w:hint="eastAsia"/>
              </w:rPr>
              <w:t>浙江石油化工有限公司</w:t>
            </w:r>
            <w:r>
              <w:t>1#</w:t>
            </w:r>
          </w:p>
        </w:tc>
        <w:tc>
          <w:tcPr>
            <w:tcW w:w="1085" w:type="dxa"/>
            <w:vAlign w:val="center"/>
          </w:tcPr>
          <w:p w14:paraId="48A20B73">
            <w:pPr>
              <w:pStyle w:val="20"/>
            </w:pPr>
            <w:r>
              <w:t>80</w:t>
            </w:r>
          </w:p>
        </w:tc>
        <w:tc>
          <w:tcPr>
            <w:tcW w:w="1597" w:type="dxa"/>
            <w:vAlign w:val="center"/>
          </w:tcPr>
          <w:p w14:paraId="2BC468C3">
            <w:pPr>
              <w:pStyle w:val="20"/>
            </w:pPr>
            <w:r>
              <w:t>2020</w:t>
            </w:r>
          </w:p>
        </w:tc>
        <w:tc>
          <w:tcPr>
            <w:tcW w:w="1650" w:type="dxa"/>
            <w:vAlign w:val="center"/>
          </w:tcPr>
          <w:p w14:paraId="1972D47D">
            <w:pPr>
              <w:pStyle w:val="20"/>
            </w:pPr>
            <w:r>
              <w:t>SHELL氧气法</w:t>
            </w:r>
          </w:p>
        </w:tc>
      </w:tr>
      <w:tr w14:paraId="4046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05E915B8">
            <w:pPr>
              <w:pStyle w:val="20"/>
            </w:pPr>
            <w:r>
              <w:rPr>
                <w:rFonts w:hint="eastAsia"/>
              </w:rPr>
              <w:t>6</w:t>
            </w:r>
          </w:p>
        </w:tc>
        <w:tc>
          <w:tcPr>
            <w:tcW w:w="3332" w:type="dxa"/>
            <w:vAlign w:val="center"/>
          </w:tcPr>
          <w:p w14:paraId="44C18B20">
            <w:pPr>
              <w:pStyle w:val="20"/>
            </w:pPr>
            <w:r>
              <w:rPr>
                <w:rFonts w:hint="eastAsia"/>
              </w:rPr>
              <w:t>浙江石油化工有限公司</w:t>
            </w:r>
            <w:r>
              <w:t>2#</w:t>
            </w:r>
          </w:p>
        </w:tc>
        <w:tc>
          <w:tcPr>
            <w:tcW w:w="1085" w:type="dxa"/>
            <w:vAlign w:val="center"/>
          </w:tcPr>
          <w:p w14:paraId="21CA0576">
            <w:pPr>
              <w:pStyle w:val="20"/>
            </w:pPr>
            <w:r>
              <w:t>80</w:t>
            </w:r>
          </w:p>
        </w:tc>
        <w:tc>
          <w:tcPr>
            <w:tcW w:w="1597" w:type="dxa"/>
            <w:vAlign w:val="center"/>
          </w:tcPr>
          <w:p w14:paraId="2EF15DA0">
            <w:pPr>
              <w:pStyle w:val="20"/>
            </w:pPr>
            <w:r>
              <w:t>2021</w:t>
            </w:r>
          </w:p>
        </w:tc>
        <w:tc>
          <w:tcPr>
            <w:tcW w:w="1650" w:type="dxa"/>
            <w:vAlign w:val="center"/>
          </w:tcPr>
          <w:p w14:paraId="0E930615">
            <w:pPr>
              <w:pStyle w:val="20"/>
            </w:pPr>
            <w:r>
              <w:t>SHELL氧气法</w:t>
            </w:r>
          </w:p>
        </w:tc>
      </w:tr>
      <w:tr w14:paraId="1FAC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55F3094C">
            <w:pPr>
              <w:pStyle w:val="20"/>
            </w:pPr>
            <w:r>
              <w:rPr>
                <w:rFonts w:hint="eastAsia"/>
              </w:rPr>
              <w:t>7</w:t>
            </w:r>
          </w:p>
        </w:tc>
        <w:tc>
          <w:tcPr>
            <w:tcW w:w="3332" w:type="dxa"/>
            <w:vAlign w:val="center"/>
          </w:tcPr>
          <w:p w14:paraId="5B8219B4">
            <w:pPr>
              <w:pStyle w:val="20"/>
            </w:pPr>
            <w:r>
              <w:rPr>
                <w:rFonts w:hint="eastAsia"/>
              </w:rPr>
              <w:t>浙江石油化工有限公司</w:t>
            </w:r>
            <w:r>
              <w:t>3#</w:t>
            </w:r>
          </w:p>
        </w:tc>
        <w:tc>
          <w:tcPr>
            <w:tcW w:w="1085" w:type="dxa"/>
            <w:vAlign w:val="center"/>
          </w:tcPr>
          <w:p w14:paraId="399EB292">
            <w:pPr>
              <w:pStyle w:val="20"/>
            </w:pPr>
            <w:r>
              <w:t>80</w:t>
            </w:r>
          </w:p>
        </w:tc>
        <w:tc>
          <w:tcPr>
            <w:tcW w:w="1597" w:type="dxa"/>
            <w:vAlign w:val="center"/>
          </w:tcPr>
          <w:p w14:paraId="6E76C947">
            <w:pPr>
              <w:pStyle w:val="20"/>
            </w:pPr>
            <w:r>
              <w:t>2022</w:t>
            </w:r>
          </w:p>
        </w:tc>
        <w:tc>
          <w:tcPr>
            <w:tcW w:w="1650" w:type="dxa"/>
            <w:vAlign w:val="center"/>
          </w:tcPr>
          <w:p w14:paraId="3D61D2DB">
            <w:pPr>
              <w:pStyle w:val="20"/>
            </w:pPr>
            <w:r>
              <w:t>SHELL氧气法</w:t>
            </w:r>
          </w:p>
        </w:tc>
      </w:tr>
      <w:tr w14:paraId="5C62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4139F289">
            <w:pPr>
              <w:pStyle w:val="20"/>
            </w:pPr>
            <w:r>
              <w:rPr>
                <w:rFonts w:hint="eastAsia"/>
              </w:rPr>
              <w:t>8</w:t>
            </w:r>
          </w:p>
        </w:tc>
        <w:tc>
          <w:tcPr>
            <w:tcW w:w="3332" w:type="dxa"/>
            <w:vAlign w:val="center"/>
          </w:tcPr>
          <w:p w14:paraId="2F187876">
            <w:pPr>
              <w:pStyle w:val="20"/>
            </w:pPr>
            <w:r>
              <w:rPr>
                <w:rFonts w:hint="eastAsia"/>
              </w:rPr>
              <w:t>福建古雷石化有限公司</w:t>
            </w:r>
          </w:p>
        </w:tc>
        <w:tc>
          <w:tcPr>
            <w:tcW w:w="1085" w:type="dxa"/>
            <w:vAlign w:val="center"/>
          </w:tcPr>
          <w:p w14:paraId="6353243C">
            <w:pPr>
              <w:pStyle w:val="20"/>
            </w:pPr>
            <w:r>
              <w:t>70</w:t>
            </w:r>
          </w:p>
        </w:tc>
        <w:tc>
          <w:tcPr>
            <w:tcW w:w="1597" w:type="dxa"/>
            <w:vAlign w:val="center"/>
          </w:tcPr>
          <w:p w14:paraId="5C6B17E3">
            <w:pPr>
              <w:pStyle w:val="20"/>
            </w:pPr>
            <w:r>
              <w:t>2021</w:t>
            </w:r>
          </w:p>
        </w:tc>
        <w:tc>
          <w:tcPr>
            <w:tcW w:w="1650" w:type="dxa"/>
            <w:vAlign w:val="center"/>
          </w:tcPr>
          <w:p w14:paraId="127341C9">
            <w:pPr>
              <w:pStyle w:val="20"/>
            </w:pPr>
            <w:r>
              <w:t>SD</w:t>
            </w:r>
            <w:r>
              <w:rPr>
                <w:rFonts w:hint="eastAsia"/>
              </w:rPr>
              <w:t>氧气法</w:t>
            </w:r>
          </w:p>
        </w:tc>
      </w:tr>
      <w:tr w14:paraId="0ED4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3376D34F">
            <w:pPr>
              <w:pStyle w:val="20"/>
            </w:pPr>
            <w:r>
              <w:rPr>
                <w:rFonts w:hint="eastAsia"/>
              </w:rPr>
              <w:t>9</w:t>
            </w:r>
          </w:p>
        </w:tc>
        <w:tc>
          <w:tcPr>
            <w:tcW w:w="3332" w:type="dxa"/>
            <w:vAlign w:val="center"/>
          </w:tcPr>
          <w:p w14:paraId="2BEC3F1F">
            <w:pPr>
              <w:pStyle w:val="20"/>
            </w:pPr>
            <w:r>
              <w:rPr>
                <w:rFonts w:hint="eastAsia"/>
              </w:rPr>
              <w:t>卫星化学股份有限公司</w:t>
            </w:r>
            <w:r>
              <w:t>1#</w:t>
            </w:r>
          </w:p>
        </w:tc>
        <w:tc>
          <w:tcPr>
            <w:tcW w:w="1085" w:type="dxa"/>
            <w:vAlign w:val="center"/>
          </w:tcPr>
          <w:p w14:paraId="3CCC62EC">
            <w:pPr>
              <w:pStyle w:val="20"/>
            </w:pPr>
            <w:r>
              <w:t>90</w:t>
            </w:r>
          </w:p>
        </w:tc>
        <w:tc>
          <w:tcPr>
            <w:tcW w:w="1597" w:type="dxa"/>
            <w:vAlign w:val="center"/>
          </w:tcPr>
          <w:p w14:paraId="4181D9ED">
            <w:pPr>
              <w:pStyle w:val="20"/>
            </w:pPr>
            <w:r>
              <w:t>2021</w:t>
            </w:r>
          </w:p>
        </w:tc>
        <w:tc>
          <w:tcPr>
            <w:tcW w:w="1650" w:type="dxa"/>
            <w:vAlign w:val="center"/>
          </w:tcPr>
          <w:p w14:paraId="69331BBF">
            <w:pPr>
              <w:pStyle w:val="20"/>
            </w:pPr>
            <w:r>
              <w:t>SHELL氧气法</w:t>
            </w:r>
          </w:p>
        </w:tc>
      </w:tr>
      <w:tr w14:paraId="32A8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47070FAC">
            <w:pPr>
              <w:pStyle w:val="20"/>
            </w:pPr>
            <w:r>
              <w:rPr>
                <w:rFonts w:hint="eastAsia"/>
              </w:rPr>
              <w:t>1</w:t>
            </w:r>
            <w:r>
              <w:t>0</w:t>
            </w:r>
          </w:p>
        </w:tc>
        <w:tc>
          <w:tcPr>
            <w:tcW w:w="3332" w:type="dxa"/>
            <w:vAlign w:val="center"/>
          </w:tcPr>
          <w:p w14:paraId="6A8952D6">
            <w:pPr>
              <w:pStyle w:val="20"/>
            </w:pPr>
            <w:r>
              <w:rPr>
                <w:rFonts w:hint="eastAsia"/>
              </w:rPr>
              <w:t>卫星化学股份有限公司</w:t>
            </w:r>
            <w:r>
              <w:t>2#</w:t>
            </w:r>
          </w:p>
        </w:tc>
        <w:tc>
          <w:tcPr>
            <w:tcW w:w="1085" w:type="dxa"/>
            <w:vAlign w:val="center"/>
          </w:tcPr>
          <w:p w14:paraId="6820AD78">
            <w:pPr>
              <w:pStyle w:val="20"/>
            </w:pPr>
            <w:r>
              <w:t>80</w:t>
            </w:r>
          </w:p>
        </w:tc>
        <w:tc>
          <w:tcPr>
            <w:tcW w:w="1597" w:type="dxa"/>
            <w:vAlign w:val="center"/>
          </w:tcPr>
          <w:p w14:paraId="2C75A27A">
            <w:pPr>
              <w:pStyle w:val="20"/>
            </w:pPr>
            <w:r>
              <w:t>2021</w:t>
            </w:r>
          </w:p>
        </w:tc>
        <w:tc>
          <w:tcPr>
            <w:tcW w:w="1650" w:type="dxa"/>
            <w:vAlign w:val="center"/>
          </w:tcPr>
          <w:p w14:paraId="57C3D8DA">
            <w:pPr>
              <w:pStyle w:val="20"/>
            </w:pPr>
            <w:r>
              <w:t>SHELL氧气法</w:t>
            </w:r>
          </w:p>
        </w:tc>
      </w:tr>
      <w:tr w14:paraId="1995E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162E0997">
            <w:pPr>
              <w:pStyle w:val="20"/>
            </w:pPr>
            <w:r>
              <w:rPr>
                <w:rFonts w:hint="eastAsia"/>
              </w:rPr>
              <w:t>1</w:t>
            </w:r>
            <w:r>
              <w:t>1</w:t>
            </w:r>
          </w:p>
        </w:tc>
        <w:tc>
          <w:tcPr>
            <w:tcW w:w="3332" w:type="dxa"/>
            <w:vAlign w:val="center"/>
          </w:tcPr>
          <w:p w14:paraId="35466CED">
            <w:pPr>
              <w:pStyle w:val="20"/>
            </w:pPr>
            <w:r>
              <w:rPr>
                <w:rFonts w:hint="eastAsia"/>
              </w:rPr>
              <w:t>三江化工股份有限公司二期</w:t>
            </w:r>
          </w:p>
        </w:tc>
        <w:tc>
          <w:tcPr>
            <w:tcW w:w="1085" w:type="dxa"/>
            <w:vAlign w:val="center"/>
          </w:tcPr>
          <w:p w14:paraId="02647810">
            <w:pPr>
              <w:pStyle w:val="20"/>
            </w:pPr>
            <w:r>
              <w:t>100</w:t>
            </w:r>
          </w:p>
        </w:tc>
        <w:tc>
          <w:tcPr>
            <w:tcW w:w="1597" w:type="dxa"/>
            <w:vAlign w:val="center"/>
          </w:tcPr>
          <w:p w14:paraId="719F65E4">
            <w:pPr>
              <w:pStyle w:val="20"/>
            </w:pPr>
            <w:r>
              <w:t>2023</w:t>
            </w:r>
          </w:p>
        </w:tc>
        <w:tc>
          <w:tcPr>
            <w:tcW w:w="1650" w:type="dxa"/>
            <w:vAlign w:val="center"/>
          </w:tcPr>
          <w:p w14:paraId="44624B03">
            <w:pPr>
              <w:pStyle w:val="20"/>
            </w:pPr>
            <w:r>
              <w:t>SD</w:t>
            </w:r>
            <w:r>
              <w:rPr>
                <w:rFonts w:hint="eastAsia"/>
              </w:rPr>
              <w:t>氧气法</w:t>
            </w:r>
          </w:p>
        </w:tc>
      </w:tr>
      <w:tr w14:paraId="0B54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50BF6F67">
            <w:pPr>
              <w:pStyle w:val="20"/>
            </w:pPr>
            <w:r>
              <w:rPr>
                <w:rFonts w:hint="eastAsia"/>
              </w:rPr>
              <w:t>1</w:t>
            </w:r>
            <w:r>
              <w:t>2</w:t>
            </w:r>
          </w:p>
        </w:tc>
        <w:tc>
          <w:tcPr>
            <w:tcW w:w="3332" w:type="dxa"/>
            <w:vAlign w:val="center"/>
          </w:tcPr>
          <w:p w14:paraId="655E4830">
            <w:pPr>
              <w:pStyle w:val="20"/>
            </w:pPr>
            <w:r>
              <w:rPr>
                <w:rFonts w:hint="eastAsia"/>
              </w:rPr>
              <w:t>盛虹炼化</w:t>
            </w:r>
            <w:r>
              <w:t>( 连云港)有限公司1#</w:t>
            </w:r>
          </w:p>
        </w:tc>
        <w:tc>
          <w:tcPr>
            <w:tcW w:w="1085" w:type="dxa"/>
            <w:vAlign w:val="center"/>
          </w:tcPr>
          <w:p w14:paraId="5B31D717">
            <w:pPr>
              <w:pStyle w:val="20"/>
            </w:pPr>
            <w:r>
              <w:t>100</w:t>
            </w:r>
          </w:p>
        </w:tc>
        <w:tc>
          <w:tcPr>
            <w:tcW w:w="1597" w:type="dxa"/>
            <w:vAlign w:val="center"/>
          </w:tcPr>
          <w:p w14:paraId="337335EC">
            <w:pPr>
              <w:pStyle w:val="20"/>
            </w:pPr>
            <w:r>
              <w:t>2023</w:t>
            </w:r>
          </w:p>
        </w:tc>
        <w:tc>
          <w:tcPr>
            <w:tcW w:w="1650" w:type="dxa"/>
            <w:vAlign w:val="center"/>
          </w:tcPr>
          <w:p w14:paraId="6435031C">
            <w:pPr>
              <w:pStyle w:val="20"/>
            </w:pPr>
            <w:r>
              <w:t>SD</w:t>
            </w:r>
            <w:r>
              <w:rPr>
                <w:rFonts w:hint="eastAsia"/>
              </w:rPr>
              <w:t>氧气法</w:t>
            </w:r>
          </w:p>
        </w:tc>
      </w:tr>
      <w:tr w14:paraId="0638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11291C94">
            <w:pPr>
              <w:pStyle w:val="20"/>
            </w:pPr>
            <w:r>
              <w:rPr>
                <w:rFonts w:hint="eastAsia"/>
              </w:rPr>
              <w:t>1</w:t>
            </w:r>
            <w:r>
              <w:t>3</w:t>
            </w:r>
          </w:p>
        </w:tc>
        <w:tc>
          <w:tcPr>
            <w:tcW w:w="3332" w:type="dxa"/>
            <w:vAlign w:val="center"/>
          </w:tcPr>
          <w:p w14:paraId="48E3EB7A">
            <w:pPr>
              <w:pStyle w:val="20"/>
            </w:pPr>
            <w:r>
              <w:rPr>
                <w:rFonts w:hint="eastAsia"/>
              </w:rPr>
              <w:t>盛虹炼化</w:t>
            </w:r>
            <w:r>
              <w:t>( 连云港)有限公司2#</w:t>
            </w:r>
          </w:p>
        </w:tc>
        <w:tc>
          <w:tcPr>
            <w:tcW w:w="1085" w:type="dxa"/>
            <w:vAlign w:val="center"/>
          </w:tcPr>
          <w:p w14:paraId="0E04B163">
            <w:pPr>
              <w:pStyle w:val="20"/>
            </w:pPr>
            <w:r>
              <w:t>100</w:t>
            </w:r>
          </w:p>
        </w:tc>
        <w:tc>
          <w:tcPr>
            <w:tcW w:w="1597" w:type="dxa"/>
            <w:vAlign w:val="center"/>
          </w:tcPr>
          <w:p w14:paraId="1FB5CFDF">
            <w:pPr>
              <w:pStyle w:val="20"/>
            </w:pPr>
            <w:r>
              <w:t>2023</w:t>
            </w:r>
          </w:p>
        </w:tc>
        <w:tc>
          <w:tcPr>
            <w:tcW w:w="1650" w:type="dxa"/>
            <w:vAlign w:val="center"/>
          </w:tcPr>
          <w:p w14:paraId="11B2593D">
            <w:pPr>
              <w:pStyle w:val="20"/>
            </w:pPr>
            <w:r>
              <w:t>SD</w:t>
            </w:r>
            <w:r>
              <w:rPr>
                <w:rFonts w:hint="eastAsia"/>
              </w:rPr>
              <w:t>氧气法</w:t>
            </w:r>
          </w:p>
        </w:tc>
      </w:tr>
      <w:tr w14:paraId="2C91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1CDD1634">
            <w:pPr>
              <w:pStyle w:val="20"/>
            </w:pPr>
            <w:r>
              <w:rPr>
                <w:rFonts w:hint="eastAsia"/>
              </w:rPr>
              <w:t>1</w:t>
            </w:r>
            <w:r>
              <w:t>4</w:t>
            </w:r>
          </w:p>
        </w:tc>
        <w:tc>
          <w:tcPr>
            <w:tcW w:w="3332" w:type="dxa"/>
            <w:vAlign w:val="center"/>
          </w:tcPr>
          <w:p w14:paraId="20ACFD93">
            <w:pPr>
              <w:pStyle w:val="20"/>
            </w:pPr>
            <w:r>
              <w:rPr>
                <w:rFonts w:hint="eastAsia"/>
              </w:rPr>
              <w:t>中国石化海南炼油化工有限公</w:t>
            </w:r>
          </w:p>
        </w:tc>
        <w:tc>
          <w:tcPr>
            <w:tcW w:w="1085" w:type="dxa"/>
            <w:vAlign w:val="center"/>
          </w:tcPr>
          <w:p w14:paraId="332ACE18">
            <w:pPr>
              <w:pStyle w:val="20"/>
            </w:pPr>
            <w:r>
              <w:t>80</w:t>
            </w:r>
          </w:p>
        </w:tc>
        <w:tc>
          <w:tcPr>
            <w:tcW w:w="1597" w:type="dxa"/>
            <w:vAlign w:val="center"/>
          </w:tcPr>
          <w:p w14:paraId="359AF30E">
            <w:pPr>
              <w:pStyle w:val="20"/>
            </w:pPr>
            <w:r>
              <w:t>2023</w:t>
            </w:r>
          </w:p>
        </w:tc>
        <w:tc>
          <w:tcPr>
            <w:tcW w:w="1650" w:type="dxa"/>
            <w:vAlign w:val="center"/>
          </w:tcPr>
          <w:p w14:paraId="411BA52C">
            <w:pPr>
              <w:pStyle w:val="20"/>
            </w:pPr>
            <w:r>
              <w:t>SD</w:t>
            </w:r>
            <w:r>
              <w:rPr>
                <w:rFonts w:hint="eastAsia"/>
              </w:rPr>
              <w:t>氧气法</w:t>
            </w:r>
          </w:p>
        </w:tc>
      </w:tr>
      <w:tr w14:paraId="7E6E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Align w:val="center"/>
          </w:tcPr>
          <w:p w14:paraId="478BD337">
            <w:pPr>
              <w:pStyle w:val="20"/>
            </w:pPr>
          </w:p>
        </w:tc>
        <w:tc>
          <w:tcPr>
            <w:tcW w:w="3332" w:type="dxa"/>
            <w:vAlign w:val="center"/>
          </w:tcPr>
          <w:p w14:paraId="4CABE44D">
            <w:pPr>
              <w:pStyle w:val="20"/>
            </w:pPr>
            <w:r>
              <w:rPr>
                <w:rFonts w:hint="eastAsia"/>
              </w:rPr>
              <w:t>小计</w:t>
            </w:r>
          </w:p>
        </w:tc>
        <w:tc>
          <w:tcPr>
            <w:tcW w:w="1085" w:type="dxa"/>
            <w:vAlign w:val="center"/>
          </w:tcPr>
          <w:p w14:paraId="4526D917">
            <w:pPr>
              <w:pStyle w:val="20"/>
            </w:pPr>
            <w:r>
              <w:t>1185</w:t>
            </w:r>
          </w:p>
        </w:tc>
        <w:tc>
          <w:tcPr>
            <w:tcW w:w="1597" w:type="dxa"/>
            <w:vAlign w:val="center"/>
          </w:tcPr>
          <w:p w14:paraId="63B2930A">
            <w:pPr>
              <w:pStyle w:val="20"/>
            </w:pPr>
          </w:p>
        </w:tc>
        <w:tc>
          <w:tcPr>
            <w:tcW w:w="1650" w:type="dxa"/>
            <w:vAlign w:val="center"/>
          </w:tcPr>
          <w:p w14:paraId="688861B8">
            <w:pPr>
              <w:pStyle w:val="20"/>
            </w:pPr>
          </w:p>
        </w:tc>
      </w:tr>
      <w:bookmarkEnd w:id="1"/>
    </w:tbl>
    <w:p w14:paraId="765F0D79">
      <w:pPr>
        <w:pStyle w:val="3"/>
        <w:spacing w:before="156" w:after="156"/>
      </w:pPr>
      <w:r>
        <w:rPr>
          <w:rFonts w:hint="eastAsia"/>
        </w:rPr>
        <w:t>环氧乙烷/乙二醇行业碳排放现状</w:t>
      </w:r>
    </w:p>
    <w:p w14:paraId="77065DD6">
      <w:pPr>
        <w:pStyle w:val="17"/>
        <w:ind w:firstLine="480"/>
      </w:pPr>
      <w:bookmarkStart w:id="2" w:name="_Hlk120528621"/>
      <w:r>
        <w:rPr>
          <w:rFonts w:hint="eastAsia"/>
        </w:rPr>
        <w:t>本次调研，共收集了</w:t>
      </w:r>
      <w:r>
        <w:t>23</w:t>
      </w:r>
      <w:r>
        <w:rPr>
          <w:rFonts w:hint="eastAsia"/>
        </w:rPr>
        <w:t>家环氧乙烷/乙二醇生产企业的碳排放基础数据，样本企业的总产能974万吨/年，约占2</w:t>
      </w:r>
      <w:r>
        <w:t>023</w:t>
      </w:r>
      <w:r>
        <w:rPr>
          <w:rFonts w:hint="eastAsia"/>
        </w:rPr>
        <w:t>年全国乙二醇产能的</w:t>
      </w:r>
      <w:r>
        <w:t>71.5%</w:t>
      </w:r>
      <w:r>
        <w:rPr>
          <w:rFonts w:hint="eastAsia"/>
        </w:rPr>
        <w:t>。本次调研结果基本可以反映我国环氧乙烷/乙二醇行业碳排放现状。</w:t>
      </w:r>
    </w:p>
    <w:p w14:paraId="2C9FC1FC">
      <w:pPr>
        <w:pStyle w:val="17"/>
        <w:ind w:firstLine="480"/>
        <w:jc w:val="center"/>
      </w:pPr>
      <w:r>
        <w:rPr>
          <w:rFonts w:hint="eastAsia"/>
        </w:rPr>
        <w:t>表2</w:t>
      </w:r>
      <w:r>
        <w:t xml:space="preserve">    </w:t>
      </w:r>
      <w:r>
        <w:rPr>
          <w:rFonts w:hint="eastAsia"/>
        </w:rPr>
        <w:t>调研企业类型及产能情况</w:t>
      </w:r>
    </w:p>
    <w:tbl>
      <w:tblPr>
        <w:tblStyle w:val="12"/>
        <w:tblW w:w="5000" w:type="pct"/>
        <w:tblInd w:w="0" w:type="dxa"/>
        <w:tblLayout w:type="fixed"/>
        <w:tblCellMar>
          <w:top w:w="0" w:type="dxa"/>
          <w:left w:w="108" w:type="dxa"/>
          <w:bottom w:w="0" w:type="dxa"/>
          <w:right w:w="108" w:type="dxa"/>
        </w:tblCellMar>
      </w:tblPr>
      <w:tblGrid>
        <w:gridCol w:w="1120"/>
        <w:gridCol w:w="1933"/>
        <w:gridCol w:w="1798"/>
        <w:gridCol w:w="1439"/>
        <w:gridCol w:w="859"/>
        <w:gridCol w:w="1374"/>
      </w:tblGrid>
      <w:tr w14:paraId="290DE8F2">
        <w:tblPrEx>
          <w:tblCellMar>
            <w:top w:w="0" w:type="dxa"/>
            <w:left w:w="108" w:type="dxa"/>
            <w:bottom w:w="0" w:type="dxa"/>
            <w:right w:w="108" w:type="dxa"/>
          </w:tblCellMar>
        </w:tblPrEx>
        <w:trPr>
          <w:trHeight w:val="280" w:hRule="atLeast"/>
        </w:trPr>
        <w:tc>
          <w:tcPr>
            <w:tcW w:w="657" w:type="pct"/>
            <w:vMerge w:val="restart"/>
            <w:tcBorders>
              <w:top w:val="single" w:color="auto" w:sz="8" w:space="0"/>
              <w:left w:val="single" w:color="auto" w:sz="8" w:space="0"/>
              <w:bottom w:val="single" w:color="auto" w:sz="4" w:space="0"/>
              <w:right w:val="single" w:color="auto" w:sz="4" w:space="0"/>
            </w:tcBorders>
            <w:shd w:val="clear" w:color="auto" w:fill="auto"/>
            <w:noWrap/>
            <w:vAlign w:val="center"/>
          </w:tcPr>
          <w:p w14:paraId="007179C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企业</w:t>
            </w:r>
          </w:p>
        </w:tc>
        <w:tc>
          <w:tcPr>
            <w:tcW w:w="1134" w:type="pct"/>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14:paraId="441548CA">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调研企业总数/环氧乙烷/乙二醇企业总数</w:t>
            </w:r>
          </w:p>
        </w:tc>
        <w:tc>
          <w:tcPr>
            <w:tcW w:w="2403" w:type="pct"/>
            <w:gridSpan w:val="3"/>
            <w:tcBorders>
              <w:top w:val="single" w:color="auto" w:sz="8" w:space="0"/>
              <w:left w:val="nil"/>
              <w:bottom w:val="single" w:color="auto" w:sz="4" w:space="0"/>
              <w:right w:val="single" w:color="auto" w:sz="4" w:space="0"/>
            </w:tcBorders>
            <w:shd w:val="clear" w:color="auto" w:fill="auto"/>
            <w:noWrap/>
            <w:vAlign w:val="center"/>
          </w:tcPr>
          <w:p w14:paraId="687BC60E">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调研装置产能分布（万吨/年）</w:t>
            </w:r>
          </w:p>
        </w:tc>
        <w:tc>
          <w:tcPr>
            <w:tcW w:w="806" w:type="pct"/>
            <w:vMerge w:val="restart"/>
            <w:tcBorders>
              <w:top w:val="single" w:color="auto" w:sz="8" w:space="0"/>
              <w:left w:val="single" w:color="auto" w:sz="4" w:space="0"/>
              <w:bottom w:val="single" w:color="auto" w:sz="4" w:space="0"/>
              <w:right w:val="single" w:color="auto" w:sz="8" w:space="0"/>
            </w:tcBorders>
            <w:shd w:val="clear" w:color="auto" w:fill="auto"/>
            <w:vAlign w:val="center"/>
          </w:tcPr>
          <w:p w14:paraId="1DD24674">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调研产能/总产能，万</w:t>
            </w:r>
            <w:r>
              <w:rPr>
                <w:rFonts w:ascii="Times New Roman" w:hAnsi="Times New Roman" w:eastAsia="宋体" w:cs="Times New Roman"/>
                <w:color w:val="000000"/>
                <w:kern w:val="0"/>
                <w:szCs w:val="21"/>
              </w:rPr>
              <w:t>吨/年</w:t>
            </w:r>
          </w:p>
        </w:tc>
      </w:tr>
      <w:tr w14:paraId="137855A4">
        <w:tblPrEx>
          <w:tblCellMar>
            <w:top w:w="0" w:type="dxa"/>
            <w:left w:w="108" w:type="dxa"/>
            <w:bottom w:w="0" w:type="dxa"/>
            <w:right w:w="108" w:type="dxa"/>
          </w:tblCellMar>
        </w:tblPrEx>
        <w:trPr>
          <w:trHeight w:val="260" w:hRule="atLeast"/>
        </w:trPr>
        <w:tc>
          <w:tcPr>
            <w:tcW w:w="657" w:type="pct"/>
            <w:vMerge w:val="continue"/>
            <w:tcBorders>
              <w:top w:val="single" w:color="auto" w:sz="8" w:space="0"/>
              <w:left w:val="single" w:color="auto" w:sz="8" w:space="0"/>
              <w:bottom w:val="single" w:color="auto" w:sz="4" w:space="0"/>
              <w:right w:val="single" w:color="auto" w:sz="4" w:space="0"/>
            </w:tcBorders>
            <w:vAlign w:val="center"/>
          </w:tcPr>
          <w:p w14:paraId="4739BFC2">
            <w:pPr>
              <w:widowControl/>
              <w:jc w:val="left"/>
              <w:rPr>
                <w:rFonts w:ascii="Times New Roman" w:hAnsi="Times New Roman" w:eastAsia="宋体" w:cs="Times New Roman"/>
                <w:color w:val="000000"/>
                <w:kern w:val="0"/>
                <w:szCs w:val="21"/>
              </w:rPr>
            </w:pPr>
          </w:p>
        </w:tc>
        <w:tc>
          <w:tcPr>
            <w:tcW w:w="1134" w:type="pct"/>
            <w:vMerge w:val="continue"/>
            <w:tcBorders>
              <w:top w:val="single" w:color="auto" w:sz="8" w:space="0"/>
              <w:left w:val="single" w:color="auto" w:sz="4" w:space="0"/>
              <w:bottom w:val="single" w:color="auto" w:sz="4" w:space="0"/>
              <w:right w:val="single" w:color="auto" w:sz="4" w:space="0"/>
            </w:tcBorders>
            <w:vAlign w:val="center"/>
          </w:tcPr>
          <w:p w14:paraId="50D0477C">
            <w:pPr>
              <w:widowControl/>
              <w:jc w:val="left"/>
              <w:rPr>
                <w:rFonts w:ascii="Times New Roman" w:hAnsi="Times New Roman" w:eastAsia="宋体" w:cs="Times New Roman"/>
                <w:color w:val="000000"/>
                <w:kern w:val="0"/>
                <w:szCs w:val="21"/>
              </w:rPr>
            </w:pPr>
          </w:p>
        </w:tc>
        <w:tc>
          <w:tcPr>
            <w:tcW w:w="1055" w:type="pct"/>
            <w:tcBorders>
              <w:top w:val="nil"/>
              <w:left w:val="nil"/>
              <w:bottom w:val="single" w:color="auto" w:sz="4" w:space="0"/>
              <w:right w:val="single" w:color="auto" w:sz="4" w:space="0"/>
            </w:tcBorders>
            <w:shd w:val="clear" w:color="auto" w:fill="auto"/>
            <w:noWrap/>
            <w:vAlign w:val="center"/>
          </w:tcPr>
          <w:p w14:paraId="7FEC9573">
            <w:pPr>
              <w:widowControl/>
              <w:jc w:val="center"/>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w:t>
            </w:r>
            <w:r>
              <w:rPr>
                <w:rFonts w:ascii="Times New Roman" w:hAnsi="Times New Roman" w:eastAsia="宋体" w:cs="Times New Roman"/>
                <w:color w:val="000000"/>
                <w:kern w:val="0"/>
                <w:szCs w:val="21"/>
              </w:rPr>
              <w:t>20</w:t>
            </w:r>
          </w:p>
        </w:tc>
        <w:tc>
          <w:tcPr>
            <w:tcW w:w="844" w:type="pct"/>
            <w:tcBorders>
              <w:top w:val="nil"/>
              <w:left w:val="nil"/>
              <w:bottom w:val="single" w:color="auto" w:sz="4" w:space="0"/>
              <w:right w:val="single" w:color="auto" w:sz="4" w:space="0"/>
            </w:tcBorders>
            <w:shd w:val="clear" w:color="auto" w:fill="auto"/>
            <w:noWrap/>
            <w:vAlign w:val="center"/>
          </w:tcPr>
          <w:p w14:paraId="231807A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r>
              <w:rPr>
                <w:rFonts w:hint="eastAsia" w:ascii="Times New Roman" w:hAnsi="Times New Roman" w:eastAsia="宋体" w:cs="Times New Roman"/>
                <w:color w:val="000000"/>
                <w:kern w:val="0"/>
                <w:szCs w:val="21"/>
              </w:rPr>
              <w:t>&lt;产能&lt;</w:t>
            </w:r>
            <w:r>
              <w:rPr>
                <w:rFonts w:ascii="Times New Roman" w:hAnsi="Times New Roman" w:eastAsia="宋体" w:cs="Times New Roman"/>
                <w:color w:val="000000"/>
                <w:kern w:val="0"/>
                <w:szCs w:val="21"/>
              </w:rPr>
              <w:t>50</w:t>
            </w:r>
          </w:p>
        </w:tc>
        <w:tc>
          <w:tcPr>
            <w:tcW w:w="504" w:type="pct"/>
            <w:tcBorders>
              <w:top w:val="nil"/>
              <w:left w:val="nil"/>
              <w:bottom w:val="single" w:color="auto" w:sz="4" w:space="0"/>
              <w:right w:val="single" w:color="auto" w:sz="4" w:space="0"/>
            </w:tcBorders>
            <w:shd w:val="clear" w:color="auto" w:fill="auto"/>
            <w:noWrap/>
            <w:vAlign w:val="center"/>
          </w:tcPr>
          <w:p w14:paraId="7EA05ADC">
            <w:pPr>
              <w:widowControl/>
              <w:jc w:val="center"/>
              <w:rPr>
                <w:rFonts w:ascii="Times New Roman" w:hAnsi="Times New Roman" w:eastAsia="宋体" w:cs="Times New Roman"/>
                <w:color w:val="000000"/>
                <w:kern w:val="0"/>
                <w:szCs w:val="21"/>
              </w:rPr>
            </w:pPr>
            <w:r>
              <w:rPr>
                <w:rFonts w:hint="eastAsia" w:ascii="宋体" w:hAnsi="宋体" w:eastAsia="宋体" w:cs="Times New Roman"/>
                <w:color w:val="000000"/>
                <w:kern w:val="0"/>
                <w:szCs w:val="21"/>
              </w:rPr>
              <w:t>≥</w:t>
            </w:r>
            <w:r>
              <w:rPr>
                <w:rFonts w:hint="eastAsia" w:ascii="Times New Roman" w:hAnsi="Times New Roman" w:eastAsia="宋体" w:cs="Times New Roman"/>
                <w:color w:val="000000"/>
                <w:kern w:val="0"/>
                <w:szCs w:val="21"/>
              </w:rPr>
              <w:t>50</w:t>
            </w:r>
          </w:p>
        </w:tc>
        <w:tc>
          <w:tcPr>
            <w:tcW w:w="806" w:type="pct"/>
            <w:vMerge w:val="continue"/>
            <w:tcBorders>
              <w:top w:val="single" w:color="auto" w:sz="8" w:space="0"/>
              <w:left w:val="single" w:color="auto" w:sz="4" w:space="0"/>
              <w:bottom w:val="single" w:color="auto" w:sz="4" w:space="0"/>
              <w:right w:val="single" w:color="auto" w:sz="8" w:space="0"/>
            </w:tcBorders>
            <w:vAlign w:val="center"/>
          </w:tcPr>
          <w:p w14:paraId="34F6D97E">
            <w:pPr>
              <w:widowControl/>
              <w:jc w:val="left"/>
              <w:rPr>
                <w:rFonts w:ascii="Times New Roman" w:hAnsi="Times New Roman" w:eastAsia="宋体" w:cs="Times New Roman"/>
                <w:color w:val="000000"/>
                <w:kern w:val="0"/>
                <w:szCs w:val="21"/>
              </w:rPr>
            </w:pPr>
          </w:p>
        </w:tc>
      </w:tr>
      <w:tr w14:paraId="7B52631C">
        <w:tblPrEx>
          <w:tblCellMar>
            <w:top w:w="0" w:type="dxa"/>
            <w:left w:w="108" w:type="dxa"/>
            <w:bottom w:w="0" w:type="dxa"/>
            <w:right w:w="108" w:type="dxa"/>
          </w:tblCellMar>
        </w:tblPrEx>
        <w:trPr>
          <w:trHeight w:val="260" w:hRule="atLeast"/>
        </w:trPr>
        <w:tc>
          <w:tcPr>
            <w:tcW w:w="657" w:type="pct"/>
            <w:tcBorders>
              <w:top w:val="nil"/>
              <w:left w:val="single" w:color="auto" w:sz="8" w:space="0"/>
              <w:bottom w:val="single" w:color="auto" w:sz="4" w:space="0"/>
              <w:right w:val="single" w:color="auto" w:sz="4" w:space="0"/>
            </w:tcBorders>
            <w:shd w:val="clear" w:color="auto" w:fill="auto"/>
            <w:noWrap/>
            <w:vAlign w:val="center"/>
          </w:tcPr>
          <w:p w14:paraId="11516440">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中石油</w:t>
            </w:r>
          </w:p>
        </w:tc>
        <w:tc>
          <w:tcPr>
            <w:tcW w:w="1134" w:type="pct"/>
            <w:tcBorders>
              <w:top w:val="nil"/>
              <w:left w:val="nil"/>
              <w:bottom w:val="single" w:color="auto" w:sz="4" w:space="0"/>
              <w:right w:val="single" w:color="auto" w:sz="4" w:space="0"/>
            </w:tcBorders>
            <w:shd w:val="clear" w:color="auto" w:fill="auto"/>
            <w:noWrap/>
            <w:vAlign w:val="center"/>
          </w:tcPr>
          <w:p w14:paraId="0F581968">
            <w:pPr>
              <w:widowControl/>
              <w:jc w:val="center"/>
              <w:rPr>
                <w:rFonts w:ascii="Times New Roman" w:hAnsi="Times New Roman" w:eastAsia="宋体" w:cs="Times New Roman"/>
                <w:color w:val="000000"/>
                <w:kern w:val="0"/>
                <w:szCs w:val="21"/>
                <w:highlight w:val="yellow"/>
              </w:rPr>
            </w:pPr>
            <w:r>
              <w:rPr>
                <w:rFonts w:ascii="Times New Roman" w:hAnsi="Times New Roman" w:eastAsia="宋体" w:cs="Times New Roman"/>
                <w:color w:val="000000"/>
                <w:kern w:val="0"/>
                <w:szCs w:val="21"/>
              </w:rPr>
              <w:t>3/4</w:t>
            </w:r>
          </w:p>
        </w:tc>
        <w:tc>
          <w:tcPr>
            <w:tcW w:w="1055" w:type="pct"/>
            <w:tcBorders>
              <w:top w:val="nil"/>
              <w:left w:val="nil"/>
              <w:bottom w:val="single" w:color="auto" w:sz="4" w:space="0"/>
              <w:right w:val="single" w:color="auto" w:sz="4" w:space="0"/>
            </w:tcBorders>
            <w:shd w:val="clear" w:color="auto" w:fill="auto"/>
            <w:noWrap/>
            <w:vAlign w:val="center"/>
          </w:tcPr>
          <w:p w14:paraId="71EC06D0">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844" w:type="pct"/>
            <w:tcBorders>
              <w:top w:val="nil"/>
              <w:left w:val="nil"/>
              <w:bottom w:val="single" w:color="auto" w:sz="4" w:space="0"/>
              <w:right w:val="single" w:color="auto" w:sz="4" w:space="0"/>
            </w:tcBorders>
            <w:shd w:val="clear" w:color="auto" w:fill="auto"/>
            <w:noWrap/>
            <w:vAlign w:val="center"/>
          </w:tcPr>
          <w:p w14:paraId="0C2DFCC3">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p>
        </w:tc>
        <w:tc>
          <w:tcPr>
            <w:tcW w:w="504" w:type="pct"/>
            <w:tcBorders>
              <w:top w:val="nil"/>
              <w:left w:val="nil"/>
              <w:bottom w:val="single" w:color="auto" w:sz="4" w:space="0"/>
              <w:right w:val="single" w:color="auto" w:sz="4" w:space="0"/>
            </w:tcBorders>
            <w:shd w:val="clear" w:color="auto" w:fill="auto"/>
            <w:noWrap/>
            <w:vAlign w:val="center"/>
          </w:tcPr>
          <w:p w14:paraId="21F543CE">
            <w:pPr>
              <w:widowControl/>
              <w:jc w:val="center"/>
              <w:rPr>
                <w:rFonts w:ascii="Times New Roman" w:hAnsi="Times New Roman" w:eastAsia="宋体" w:cs="Times New Roman"/>
                <w:color w:val="000000"/>
                <w:kern w:val="0"/>
                <w:szCs w:val="21"/>
              </w:rPr>
            </w:pPr>
          </w:p>
        </w:tc>
        <w:tc>
          <w:tcPr>
            <w:tcW w:w="806" w:type="pct"/>
            <w:tcBorders>
              <w:top w:val="nil"/>
              <w:left w:val="nil"/>
              <w:bottom w:val="single" w:color="auto" w:sz="4" w:space="0"/>
              <w:right w:val="single" w:color="auto" w:sz="8" w:space="0"/>
            </w:tcBorders>
            <w:shd w:val="clear" w:color="auto" w:fill="auto"/>
            <w:noWrap/>
            <w:vAlign w:val="center"/>
          </w:tcPr>
          <w:p w14:paraId="18F1D80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49</w:t>
            </w:r>
            <w:r>
              <w:rPr>
                <w:rFonts w:hint="eastAsia" w:ascii="Times New Roman" w:hAnsi="Times New Roman" w:eastAsia="宋体" w:cs="Times New Roman"/>
                <w:color w:val="000000"/>
                <w:kern w:val="0"/>
                <w:szCs w:val="21"/>
              </w:rPr>
              <w:t>/67</w:t>
            </w:r>
          </w:p>
        </w:tc>
      </w:tr>
      <w:tr w14:paraId="19956BCD">
        <w:tblPrEx>
          <w:tblCellMar>
            <w:top w:w="0" w:type="dxa"/>
            <w:left w:w="108" w:type="dxa"/>
            <w:bottom w:w="0" w:type="dxa"/>
            <w:right w:w="108" w:type="dxa"/>
          </w:tblCellMar>
        </w:tblPrEx>
        <w:trPr>
          <w:trHeight w:val="260" w:hRule="atLeast"/>
        </w:trPr>
        <w:tc>
          <w:tcPr>
            <w:tcW w:w="657" w:type="pct"/>
            <w:tcBorders>
              <w:top w:val="nil"/>
              <w:left w:val="single" w:color="auto" w:sz="8" w:space="0"/>
              <w:bottom w:val="single" w:color="auto" w:sz="4" w:space="0"/>
              <w:right w:val="single" w:color="auto" w:sz="4" w:space="0"/>
            </w:tcBorders>
            <w:shd w:val="clear" w:color="auto" w:fill="auto"/>
            <w:noWrap/>
            <w:vAlign w:val="center"/>
          </w:tcPr>
          <w:p w14:paraId="798703F5">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中石化</w:t>
            </w:r>
          </w:p>
        </w:tc>
        <w:tc>
          <w:tcPr>
            <w:tcW w:w="1134" w:type="pct"/>
            <w:tcBorders>
              <w:top w:val="nil"/>
              <w:left w:val="nil"/>
              <w:bottom w:val="single" w:color="auto" w:sz="4" w:space="0"/>
              <w:right w:val="single" w:color="auto" w:sz="4" w:space="0"/>
            </w:tcBorders>
            <w:shd w:val="clear" w:color="auto" w:fill="auto"/>
            <w:noWrap/>
            <w:vAlign w:val="center"/>
          </w:tcPr>
          <w:p w14:paraId="318B20B4">
            <w:pPr>
              <w:widowControl/>
              <w:jc w:val="center"/>
              <w:rPr>
                <w:rFonts w:ascii="Times New Roman" w:hAnsi="Times New Roman" w:eastAsia="宋体" w:cs="Times New Roman"/>
                <w:color w:val="000000"/>
                <w:kern w:val="0"/>
                <w:szCs w:val="21"/>
                <w:highlight w:val="yellow"/>
              </w:rPr>
            </w:pPr>
            <w:r>
              <w:rPr>
                <w:rFonts w:hint="eastAsia" w:ascii="Times New Roman" w:hAnsi="Times New Roman" w:eastAsia="宋体" w:cs="Times New Roman"/>
                <w:color w:val="000000"/>
                <w:kern w:val="0"/>
                <w:szCs w:val="21"/>
              </w:rPr>
              <w:t>4</w:t>
            </w:r>
            <w:r>
              <w:rPr>
                <w:rFonts w:ascii="Times New Roman" w:hAnsi="Times New Roman" w:eastAsia="宋体" w:cs="Times New Roman"/>
                <w:color w:val="000000"/>
                <w:kern w:val="0"/>
                <w:szCs w:val="21"/>
              </w:rPr>
              <w:t>/9</w:t>
            </w:r>
          </w:p>
        </w:tc>
        <w:tc>
          <w:tcPr>
            <w:tcW w:w="1055" w:type="pct"/>
            <w:tcBorders>
              <w:top w:val="nil"/>
              <w:left w:val="nil"/>
              <w:bottom w:val="single" w:color="auto" w:sz="4" w:space="0"/>
              <w:right w:val="single" w:color="auto" w:sz="4" w:space="0"/>
            </w:tcBorders>
            <w:shd w:val="clear" w:color="auto" w:fill="auto"/>
            <w:noWrap/>
            <w:vAlign w:val="center"/>
          </w:tcPr>
          <w:p w14:paraId="26B4994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p>
        </w:tc>
        <w:tc>
          <w:tcPr>
            <w:tcW w:w="844" w:type="pct"/>
            <w:tcBorders>
              <w:top w:val="nil"/>
              <w:left w:val="nil"/>
              <w:bottom w:val="single" w:color="auto" w:sz="4" w:space="0"/>
              <w:right w:val="single" w:color="auto" w:sz="4" w:space="0"/>
            </w:tcBorders>
            <w:shd w:val="clear" w:color="auto" w:fill="auto"/>
            <w:noWrap/>
            <w:vAlign w:val="center"/>
          </w:tcPr>
          <w:p w14:paraId="6ADEFF2F">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w:t>
            </w:r>
          </w:p>
        </w:tc>
        <w:tc>
          <w:tcPr>
            <w:tcW w:w="504" w:type="pct"/>
            <w:tcBorders>
              <w:top w:val="nil"/>
              <w:left w:val="nil"/>
              <w:bottom w:val="single" w:color="auto" w:sz="4" w:space="0"/>
              <w:right w:val="single" w:color="auto" w:sz="4" w:space="0"/>
            </w:tcBorders>
            <w:shd w:val="clear" w:color="auto" w:fill="auto"/>
            <w:noWrap/>
            <w:vAlign w:val="center"/>
          </w:tcPr>
          <w:p w14:paraId="059995C6">
            <w:pPr>
              <w:widowControl/>
              <w:jc w:val="center"/>
              <w:rPr>
                <w:rFonts w:ascii="Times New Roman" w:hAnsi="Times New Roman" w:eastAsia="宋体" w:cs="Times New Roman"/>
                <w:color w:val="000000"/>
                <w:kern w:val="0"/>
                <w:szCs w:val="21"/>
              </w:rPr>
            </w:pPr>
          </w:p>
        </w:tc>
        <w:tc>
          <w:tcPr>
            <w:tcW w:w="806" w:type="pct"/>
            <w:tcBorders>
              <w:top w:val="nil"/>
              <w:left w:val="nil"/>
              <w:bottom w:val="single" w:color="auto" w:sz="4" w:space="0"/>
              <w:right w:val="single" w:color="auto" w:sz="8" w:space="0"/>
            </w:tcBorders>
            <w:shd w:val="clear" w:color="auto" w:fill="auto"/>
            <w:noWrap/>
            <w:vAlign w:val="center"/>
          </w:tcPr>
          <w:p w14:paraId="703774FD">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103</w:t>
            </w:r>
            <w:r>
              <w:rPr>
                <w:rFonts w:hint="eastAsia" w:ascii="Times New Roman" w:hAnsi="Times New Roman" w:eastAsia="宋体" w:cs="Times New Roman"/>
                <w:color w:val="000000"/>
                <w:kern w:val="0"/>
                <w:szCs w:val="21"/>
              </w:rPr>
              <w:t>/210</w:t>
            </w:r>
          </w:p>
        </w:tc>
      </w:tr>
      <w:tr w14:paraId="3628BEA5">
        <w:tblPrEx>
          <w:tblCellMar>
            <w:top w:w="0" w:type="dxa"/>
            <w:left w:w="108" w:type="dxa"/>
            <w:bottom w:w="0" w:type="dxa"/>
            <w:right w:w="108" w:type="dxa"/>
          </w:tblCellMar>
        </w:tblPrEx>
        <w:trPr>
          <w:trHeight w:val="260" w:hRule="atLeast"/>
        </w:trPr>
        <w:tc>
          <w:tcPr>
            <w:tcW w:w="657" w:type="pct"/>
            <w:tcBorders>
              <w:top w:val="nil"/>
              <w:left w:val="single" w:color="auto" w:sz="8" w:space="0"/>
              <w:bottom w:val="single" w:color="auto" w:sz="4" w:space="0"/>
              <w:right w:val="single" w:color="auto" w:sz="4" w:space="0"/>
            </w:tcBorders>
            <w:shd w:val="clear" w:color="auto" w:fill="auto"/>
            <w:noWrap/>
            <w:vAlign w:val="center"/>
          </w:tcPr>
          <w:p w14:paraId="2D60B842">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其它国企</w:t>
            </w:r>
          </w:p>
        </w:tc>
        <w:tc>
          <w:tcPr>
            <w:tcW w:w="1134" w:type="pct"/>
            <w:tcBorders>
              <w:top w:val="nil"/>
              <w:left w:val="nil"/>
              <w:bottom w:val="single" w:color="auto" w:sz="4" w:space="0"/>
              <w:right w:val="single" w:color="auto" w:sz="4" w:space="0"/>
            </w:tcBorders>
            <w:shd w:val="clear" w:color="auto" w:fill="auto"/>
            <w:noWrap/>
            <w:vAlign w:val="center"/>
          </w:tcPr>
          <w:p w14:paraId="6219E9BF">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/2</w:t>
            </w:r>
          </w:p>
        </w:tc>
        <w:tc>
          <w:tcPr>
            <w:tcW w:w="1055" w:type="pct"/>
            <w:tcBorders>
              <w:top w:val="nil"/>
              <w:left w:val="nil"/>
              <w:bottom w:val="single" w:color="auto" w:sz="4" w:space="0"/>
              <w:right w:val="single" w:color="auto" w:sz="4" w:space="0"/>
            </w:tcBorders>
            <w:shd w:val="clear" w:color="auto" w:fill="auto"/>
            <w:noWrap/>
            <w:vAlign w:val="center"/>
          </w:tcPr>
          <w:p w14:paraId="1542B2D3">
            <w:pPr>
              <w:widowControl/>
              <w:jc w:val="center"/>
              <w:rPr>
                <w:rFonts w:ascii="Times New Roman" w:hAnsi="Times New Roman" w:eastAsia="宋体" w:cs="Times New Roman"/>
                <w:color w:val="000000"/>
                <w:kern w:val="0"/>
                <w:szCs w:val="21"/>
              </w:rPr>
            </w:pPr>
          </w:p>
        </w:tc>
        <w:tc>
          <w:tcPr>
            <w:tcW w:w="844" w:type="pct"/>
            <w:tcBorders>
              <w:top w:val="nil"/>
              <w:left w:val="nil"/>
              <w:bottom w:val="single" w:color="auto" w:sz="4" w:space="0"/>
              <w:right w:val="single" w:color="auto" w:sz="4" w:space="0"/>
            </w:tcBorders>
            <w:shd w:val="clear" w:color="auto" w:fill="auto"/>
            <w:noWrap/>
            <w:vAlign w:val="center"/>
          </w:tcPr>
          <w:p w14:paraId="157CF275">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504" w:type="pct"/>
            <w:tcBorders>
              <w:top w:val="nil"/>
              <w:left w:val="nil"/>
              <w:bottom w:val="single" w:color="auto" w:sz="4" w:space="0"/>
              <w:right w:val="single" w:color="auto" w:sz="4" w:space="0"/>
            </w:tcBorders>
            <w:shd w:val="clear" w:color="auto" w:fill="auto"/>
            <w:noWrap/>
            <w:vAlign w:val="center"/>
          </w:tcPr>
          <w:p w14:paraId="0B7E76A3">
            <w:pPr>
              <w:widowControl/>
              <w:jc w:val="center"/>
              <w:rPr>
                <w:rFonts w:ascii="Times New Roman" w:hAnsi="Times New Roman" w:eastAsia="宋体" w:cs="Times New Roman"/>
                <w:color w:val="000000"/>
                <w:kern w:val="0"/>
                <w:szCs w:val="21"/>
              </w:rPr>
            </w:pPr>
          </w:p>
        </w:tc>
        <w:tc>
          <w:tcPr>
            <w:tcW w:w="806" w:type="pct"/>
            <w:tcBorders>
              <w:top w:val="nil"/>
              <w:left w:val="nil"/>
              <w:bottom w:val="single" w:color="auto" w:sz="4" w:space="0"/>
              <w:right w:val="single" w:color="auto" w:sz="8" w:space="0"/>
            </w:tcBorders>
            <w:shd w:val="clear" w:color="auto" w:fill="auto"/>
            <w:noWrap/>
            <w:vAlign w:val="center"/>
          </w:tcPr>
          <w:p w14:paraId="18362EB3">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121/170</w:t>
            </w:r>
          </w:p>
        </w:tc>
      </w:tr>
      <w:tr w14:paraId="72D7015D">
        <w:tblPrEx>
          <w:tblCellMar>
            <w:top w:w="0" w:type="dxa"/>
            <w:left w:w="108" w:type="dxa"/>
            <w:bottom w:w="0" w:type="dxa"/>
            <w:right w:w="108" w:type="dxa"/>
          </w:tblCellMar>
        </w:tblPrEx>
        <w:trPr>
          <w:trHeight w:val="260" w:hRule="atLeast"/>
        </w:trPr>
        <w:tc>
          <w:tcPr>
            <w:tcW w:w="657" w:type="pct"/>
            <w:tcBorders>
              <w:top w:val="nil"/>
              <w:left w:val="single" w:color="auto" w:sz="8" w:space="0"/>
              <w:bottom w:val="single" w:color="auto" w:sz="4" w:space="0"/>
              <w:right w:val="single" w:color="auto" w:sz="4" w:space="0"/>
            </w:tcBorders>
            <w:shd w:val="clear" w:color="auto" w:fill="auto"/>
            <w:noWrap/>
            <w:vAlign w:val="center"/>
          </w:tcPr>
          <w:p w14:paraId="2009E02A">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合资</w:t>
            </w:r>
          </w:p>
        </w:tc>
        <w:tc>
          <w:tcPr>
            <w:tcW w:w="1134" w:type="pct"/>
            <w:tcBorders>
              <w:top w:val="nil"/>
              <w:left w:val="nil"/>
              <w:bottom w:val="single" w:color="auto" w:sz="4" w:space="0"/>
              <w:right w:val="single" w:color="auto" w:sz="4" w:space="0"/>
            </w:tcBorders>
            <w:shd w:val="clear" w:color="auto" w:fill="auto"/>
            <w:noWrap/>
            <w:vAlign w:val="center"/>
          </w:tcPr>
          <w:p w14:paraId="68704F88">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5/9</w:t>
            </w:r>
          </w:p>
        </w:tc>
        <w:tc>
          <w:tcPr>
            <w:tcW w:w="1055" w:type="pct"/>
            <w:tcBorders>
              <w:top w:val="nil"/>
              <w:left w:val="nil"/>
              <w:bottom w:val="single" w:color="auto" w:sz="4" w:space="0"/>
              <w:right w:val="single" w:color="auto" w:sz="4" w:space="0"/>
            </w:tcBorders>
            <w:shd w:val="clear" w:color="auto" w:fill="auto"/>
            <w:noWrap/>
            <w:vAlign w:val="center"/>
          </w:tcPr>
          <w:p w14:paraId="25C98465">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p>
        </w:tc>
        <w:tc>
          <w:tcPr>
            <w:tcW w:w="844" w:type="pct"/>
            <w:tcBorders>
              <w:top w:val="nil"/>
              <w:left w:val="nil"/>
              <w:bottom w:val="single" w:color="auto" w:sz="4" w:space="0"/>
              <w:right w:val="single" w:color="auto" w:sz="4" w:space="0"/>
            </w:tcBorders>
            <w:shd w:val="clear" w:color="auto" w:fill="auto"/>
            <w:noWrap/>
            <w:vAlign w:val="center"/>
          </w:tcPr>
          <w:p w14:paraId="6F41B25C">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w:t>
            </w:r>
          </w:p>
        </w:tc>
        <w:tc>
          <w:tcPr>
            <w:tcW w:w="504" w:type="pct"/>
            <w:tcBorders>
              <w:top w:val="nil"/>
              <w:left w:val="nil"/>
              <w:bottom w:val="single" w:color="auto" w:sz="4" w:space="0"/>
              <w:right w:val="single" w:color="auto" w:sz="4" w:space="0"/>
            </w:tcBorders>
            <w:shd w:val="clear" w:color="auto" w:fill="auto"/>
            <w:noWrap/>
            <w:vAlign w:val="center"/>
          </w:tcPr>
          <w:p w14:paraId="5DED8DC4">
            <w:pPr>
              <w:widowControl/>
              <w:jc w:val="center"/>
              <w:rPr>
                <w:rFonts w:ascii="Times New Roman" w:hAnsi="Times New Roman" w:eastAsia="宋体" w:cs="Times New Roman"/>
                <w:color w:val="000000"/>
                <w:kern w:val="0"/>
                <w:szCs w:val="21"/>
              </w:rPr>
            </w:pPr>
          </w:p>
        </w:tc>
        <w:tc>
          <w:tcPr>
            <w:tcW w:w="806" w:type="pct"/>
            <w:tcBorders>
              <w:top w:val="nil"/>
              <w:left w:val="nil"/>
              <w:bottom w:val="single" w:color="auto" w:sz="4" w:space="0"/>
              <w:right w:val="single" w:color="auto" w:sz="8" w:space="0"/>
            </w:tcBorders>
            <w:shd w:val="clear" w:color="auto" w:fill="auto"/>
            <w:noWrap/>
            <w:vAlign w:val="center"/>
          </w:tcPr>
          <w:p w14:paraId="32947AA8">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17/32</w:t>
            </w:r>
          </w:p>
        </w:tc>
      </w:tr>
      <w:tr w14:paraId="3A8C1C68">
        <w:tblPrEx>
          <w:tblCellMar>
            <w:top w:w="0" w:type="dxa"/>
            <w:left w:w="108" w:type="dxa"/>
            <w:bottom w:w="0" w:type="dxa"/>
            <w:right w:w="108" w:type="dxa"/>
          </w:tblCellMar>
        </w:tblPrEx>
        <w:trPr>
          <w:trHeight w:val="260" w:hRule="atLeast"/>
        </w:trPr>
        <w:tc>
          <w:tcPr>
            <w:tcW w:w="657" w:type="pct"/>
            <w:tcBorders>
              <w:top w:val="nil"/>
              <w:left w:val="single" w:color="auto" w:sz="8" w:space="0"/>
              <w:bottom w:val="single" w:color="auto" w:sz="4" w:space="0"/>
              <w:right w:val="single" w:color="auto" w:sz="4" w:space="0"/>
            </w:tcBorders>
            <w:shd w:val="clear" w:color="auto" w:fill="auto"/>
            <w:noWrap/>
            <w:vAlign w:val="center"/>
          </w:tcPr>
          <w:p w14:paraId="22A600AD">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民企</w:t>
            </w:r>
          </w:p>
        </w:tc>
        <w:tc>
          <w:tcPr>
            <w:tcW w:w="1134" w:type="pct"/>
            <w:tcBorders>
              <w:top w:val="nil"/>
              <w:left w:val="nil"/>
              <w:bottom w:val="single" w:color="auto" w:sz="4" w:space="0"/>
              <w:right w:val="single" w:color="auto" w:sz="4" w:space="0"/>
            </w:tcBorders>
            <w:shd w:val="clear" w:color="auto" w:fill="auto"/>
            <w:noWrap/>
            <w:vAlign w:val="center"/>
          </w:tcPr>
          <w:p w14:paraId="26FFC205">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16</w:t>
            </w:r>
          </w:p>
        </w:tc>
        <w:tc>
          <w:tcPr>
            <w:tcW w:w="1055" w:type="pct"/>
            <w:tcBorders>
              <w:top w:val="nil"/>
              <w:left w:val="nil"/>
              <w:bottom w:val="single" w:color="auto" w:sz="4" w:space="0"/>
              <w:right w:val="single" w:color="auto" w:sz="4" w:space="0"/>
            </w:tcBorders>
            <w:shd w:val="clear" w:color="auto" w:fill="auto"/>
            <w:noWrap/>
            <w:vAlign w:val="center"/>
          </w:tcPr>
          <w:p w14:paraId="4509C24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p>
        </w:tc>
        <w:tc>
          <w:tcPr>
            <w:tcW w:w="844" w:type="pct"/>
            <w:tcBorders>
              <w:top w:val="nil"/>
              <w:left w:val="nil"/>
              <w:bottom w:val="single" w:color="auto" w:sz="4" w:space="0"/>
              <w:right w:val="single" w:color="auto" w:sz="4" w:space="0"/>
            </w:tcBorders>
            <w:shd w:val="clear" w:color="auto" w:fill="auto"/>
            <w:noWrap/>
            <w:vAlign w:val="center"/>
          </w:tcPr>
          <w:p w14:paraId="1AC5DE90">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p>
        </w:tc>
        <w:tc>
          <w:tcPr>
            <w:tcW w:w="504" w:type="pct"/>
            <w:tcBorders>
              <w:top w:val="nil"/>
              <w:left w:val="nil"/>
              <w:bottom w:val="single" w:color="auto" w:sz="4" w:space="0"/>
              <w:right w:val="single" w:color="auto" w:sz="4" w:space="0"/>
            </w:tcBorders>
            <w:shd w:val="clear" w:color="auto" w:fill="auto"/>
            <w:noWrap/>
            <w:vAlign w:val="center"/>
          </w:tcPr>
          <w:p w14:paraId="5ED4F45D">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w:t>
            </w:r>
          </w:p>
        </w:tc>
        <w:tc>
          <w:tcPr>
            <w:tcW w:w="806" w:type="pct"/>
            <w:tcBorders>
              <w:top w:val="nil"/>
              <w:left w:val="nil"/>
              <w:bottom w:val="single" w:color="auto" w:sz="4" w:space="0"/>
              <w:right w:val="single" w:color="auto" w:sz="8" w:space="0"/>
            </w:tcBorders>
            <w:shd w:val="clear" w:color="auto" w:fill="auto"/>
            <w:noWrap/>
            <w:vAlign w:val="center"/>
          </w:tcPr>
          <w:p w14:paraId="773D2B5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685</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885</w:t>
            </w:r>
          </w:p>
        </w:tc>
      </w:tr>
      <w:tr w14:paraId="0147E4AB">
        <w:tblPrEx>
          <w:tblCellMar>
            <w:top w:w="0" w:type="dxa"/>
            <w:left w:w="108" w:type="dxa"/>
            <w:bottom w:w="0" w:type="dxa"/>
            <w:right w:w="108" w:type="dxa"/>
          </w:tblCellMar>
        </w:tblPrEx>
        <w:trPr>
          <w:trHeight w:val="270" w:hRule="atLeast"/>
        </w:trPr>
        <w:tc>
          <w:tcPr>
            <w:tcW w:w="657" w:type="pct"/>
            <w:tcBorders>
              <w:top w:val="nil"/>
              <w:left w:val="single" w:color="auto" w:sz="8" w:space="0"/>
              <w:bottom w:val="single" w:color="auto" w:sz="8" w:space="0"/>
              <w:right w:val="single" w:color="auto" w:sz="4" w:space="0"/>
            </w:tcBorders>
            <w:shd w:val="clear" w:color="auto" w:fill="auto"/>
            <w:noWrap/>
            <w:vAlign w:val="center"/>
          </w:tcPr>
          <w:p w14:paraId="3AE1511B">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合计</w:t>
            </w:r>
          </w:p>
        </w:tc>
        <w:tc>
          <w:tcPr>
            <w:tcW w:w="1134" w:type="pct"/>
            <w:tcBorders>
              <w:top w:val="nil"/>
              <w:left w:val="nil"/>
              <w:bottom w:val="single" w:color="auto" w:sz="8" w:space="0"/>
              <w:right w:val="single" w:color="auto" w:sz="4" w:space="0"/>
            </w:tcBorders>
            <w:shd w:val="clear" w:color="auto" w:fill="auto"/>
            <w:noWrap/>
            <w:vAlign w:val="center"/>
          </w:tcPr>
          <w:p w14:paraId="32035324">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23/39</w:t>
            </w:r>
          </w:p>
        </w:tc>
        <w:tc>
          <w:tcPr>
            <w:tcW w:w="1055" w:type="pct"/>
            <w:tcBorders>
              <w:top w:val="nil"/>
              <w:left w:val="nil"/>
              <w:bottom w:val="single" w:color="auto" w:sz="8" w:space="0"/>
              <w:right w:val="single" w:color="auto" w:sz="4" w:space="0"/>
            </w:tcBorders>
            <w:shd w:val="clear" w:color="auto" w:fill="auto"/>
            <w:noWrap/>
            <w:vAlign w:val="center"/>
          </w:tcPr>
          <w:p w14:paraId="765F071E">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6</w:t>
            </w:r>
          </w:p>
        </w:tc>
        <w:tc>
          <w:tcPr>
            <w:tcW w:w="844" w:type="pct"/>
            <w:tcBorders>
              <w:top w:val="nil"/>
              <w:left w:val="nil"/>
              <w:bottom w:val="single" w:color="auto" w:sz="8" w:space="0"/>
              <w:right w:val="single" w:color="auto" w:sz="4" w:space="0"/>
            </w:tcBorders>
            <w:shd w:val="clear" w:color="auto" w:fill="auto"/>
            <w:noWrap/>
            <w:vAlign w:val="center"/>
          </w:tcPr>
          <w:p w14:paraId="5BC102DF">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3</w:t>
            </w:r>
          </w:p>
        </w:tc>
        <w:tc>
          <w:tcPr>
            <w:tcW w:w="504" w:type="pct"/>
            <w:tcBorders>
              <w:top w:val="nil"/>
              <w:left w:val="nil"/>
              <w:bottom w:val="single" w:color="auto" w:sz="8" w:space="0"/>
              <w:right w:val="single" w:color="auto" w:sz="4" w:space="0"/>
            </w:tcBorders>
            <w:shd w:val="clear" w:color="auto" w:fill="auto"/>
            <w:noWrap/>
            <w:vAlign w:val="center"/>
          </w:tcPr>
          <w:p w14:paraId="72D3F9D1">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w:t>
            </w:r>
          </w:p>
        </w:tc>
        <w:tc>
          <w:tcPr>
            <w:tcW w:w="806" w:type="pct"/>
            <w:tcBorders>
              <w:top w:val="nil"/>
              <w:left w:val="nil"/>
              <w:bottom w:val="single" w:color="auto" w:sz="8" w:space="0"/>
              <w:right w:val="single" w:color="auto" w:sz="8" w:space="0"/>
            </w:tcBorders>
            <w:shd w:val="clear" w:color="auto" w:fill="auto"/>
            <w:noWrap/>
            <w:vAlign w:val="center"/>
          </w:tcPr>
          <w:p w14:paraId="2CECF5B0">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974</w:t>
            </w:r>
            <w:r>
              <w:rPr>
                <w:rFonts w:hint="eastAsia" w:ascii="Times New Roman" w:hAnsi="Times New Roman" w:eastAsia="宋体" w:cs="Times New Roman"/>
                <w:color w:val="000000"/>
                <w:kern w:val="0"/>
                <w:szCs w:val="21"/>
              </w:rPr>
              <w:t>/1365</w:t>
            </w:r>
          </w:p>
        </w:tc>
      </w:tr>
      <w:bookmarkEnd w:id="2"/>
    </w:tbl>
    <w:p w14:paraId="5BF91CF1">
      <w:pPr>
        <w:pStyle w:val="17"/>
        <w:ind w:firstLine="480"/>
      </w:pPr>
      <w:r>
        <w:rPr>
          <w:rFonts w:hint="eastAsia"/>
        </w:rPr>
        <w:t>参考欧盟碳市场（E</w:t>
      </w:r>
      <w:r>
        <w:t>U ETS</w:t>
      </w:r>
      <w:r>
        <w:rPr>
          <w:rFonts w:hint="eastAsia"/>
        </w:rPr>
        <w:t>）中产品碳排放基准线的设定指标，结合本次调研数据，采用“工业过程单位产品碳排放量”、“装置单位产品碳排放量”两个指标表征环氧乙烷/乙二醇行业碳排放水平。</w:t>
      </w:r>
      <w:bookmarkStart w:id="3" w:name="_Hlk120525721"/>
      <w:r>
        <w:rPr>
          <w:rFonts w:hint="eastAsia"/>
        </w:rPr>
        <w:t>两个指标的统计范围不同，“工业过程单位产品碳排放量”仅统计装置边界内的直接排放，“装置单位产品碳排放量”不仅包括直接排放，还包括间接排放及回收利用量，即装置最终的排放总量</w:t>
      </w:r>
      <w:r>
        <w:rPr>
          <w:rFonts w:hint="eastAsia" w:cs="Times New Roman"/>
        </w:rPr>
        <w:t>。将</w:t>
      </w:r>
      <w:r>
        <w:rPr>
          <w:rFonts w:cs="Times New Roman"/>
        </w:rPr>
        <w:t>单位</w:t>
      </w:r>
      <w:r>
        <w:rPr>
          <w:rFonts w:hint="eastAsia" w:cs="Times New Roman"/>
        </w:rPr>
        <w:t>产品</w:t>
      </w:r>
      <w:r>
        <w:rPr>
          <w:rFonts w:cs="Times New Roman"/>
        </w:rPr>
        <w:t>碳排放</w:t>
      </w:r>
      <w:r>
        <w:rPr>
          <w:rFonts w:hint="eastAsia" w:cs="Times New Roman"/>
        </w:rPr>
        <w:t>强度</w:t>
      </w:r>
      <w:r>
        <w:rPr>
          <w:rFonts w:cs="Times New Roman"/>
        </w:rPr>
        <w:t>限额等级分为3级，其中</w:t>
      </w:r>
      <w:r>
        <w:rPr>
          <w:rFonts w:hint="eastAsia" w:cs="Times New Roman"/>
        </w:rPr>
        <w:t>“</w:t>
      </w:r>
      <w:r>
        <w:rPr>
          <w:rFonts w:cs="Times New Roman"/>
        </w:rPr>
        <w:t>1级</w:t>
      </w:r>
      <w:r>
        <w:rPr>
          <w:rFonts w:hint="eastAsia" w:cs="Times New Roman"/>
        </w:rPr>
        <w:t>值”</w:t>
      </w:r>
      <w:r>
        <w:rPr>
          <w:rFonts w:cs="Times New Roman"/>
        </w:rPr>
        <w:t>碳排放强度最低</w:t>
      </w:r>
      <w:r>
        <w:rPr>
          <w:rFonts w:hint="eastAsia" w:cs="Times New Roman"/>
        </w:rPr>
        <w:t>，“</w:t>
      </w:r>
      <w:r>
        <w:rPr>
          <w:rFonts w:cs="Times New Roman"/>
        </w:rPr>
        <w:t>3级</w:t>
      </w:r>
      <w:r>
        <w:rPr>
          <w:rFonts w:hint="eastAsia" w:cs="Times New Roman"/>
        </w:rPr>
        <w:t>值”碳排放强度最高</w:t>
      </w:r>
      <w:r>
        <w:rPr>
          <w:rFonts w:cs="Times New Roman"/>
        </w:rPr>
        <w:t>。</w:t>
      </w:r>
      <w:r>
        <w:t>“1级值”</w:t>
      </w:r>
      <w:r>
        <w:rPr>
          <w:rFonts w:hint="eastAsia"/>
        </w:rPr>
        <w:t>表示为领先水平</w:t>
      </w:r>
      <w:r>
        <w:t>、“2级值”</w:t>
      </w:r>
      <w:r>
        <w:rPr>
          <w:rFonts w:hint="eastAsia"/>
        </w:rPr>
        <w:t>表示为先进水平</w:t>
      </w:r>
      <w:r>
        <w:t>、“3级值”</w:t>
      </w:r>
      <w:r>
        <w:rPr>
          <w:rFonts w:hint="eastAsia"/>
        </w:rPr>
        <w:t>表示为基本水平。</w:t>
      </w:r>
    </w:p>
    <w:p w14:paraId="4C8B0F14">
      <w:pPr>
        <w:pStyle w:val="3"/>
        <w:spacing w:before="156" w:after="156"/>
      </w:pPr>
      <w:r>
        <w:rPr>
          <w:rFonts w:hint="eastAsia"/>
        </w:rPr>
        <w:t>环氧乙烷/乙二醇装置碳排放水平</w:t>
      </w:r>
    </w:p>
    <w:bookmarkEnd w:id="3"/>
    <w:p w14:paraId="1C32A544">
      <w:pPr>
        <w:pStyle w:val="17"/>
        <w:spacing w:after="156"/>
        <w:ind w:firstLine="480"/>
      </w:pPr>
      <w:r>
        <w:rPr>
          <w:rFonts w:hint="eastAsia"/>
        </w:rPr>
        <w:t>本次调研工作收集了</w:t>
      </w:r>
      <w:r>
        <w:t>23</w:t>
      </w:r>
      <w:r>
        <w:rPr>
          <w:rFonts w:hint="eastAsia"/>
        </w:rPr>
        <w:t>家企业2</w:t>
      </w:r>
      <w:r>
        <w:t>020</w:t>
      </w:r>
      <w:r>
        <w:rPr>
          <w:rFonts w:hint="eastAsia" w:ascii="宋体" w:hAnsi="宋体"/>
        </w:rPr>
        <w:t>～</w:t>
      </w:r>
      <w:r>
        <w:t>2023</w:t>
      </w:r>
      <w:r>
        <w:rPr>
          <w:rFonts w:hint="eastAsia"/>
        </w:rPr>
        <w:t>年的碳排放数据。部分企业仅提供了工业过程碳排放数据，未提供间接碳排放数据，通过数据分析剔除异常值，工业过程碳排放和装置太排放分别获得有效样本数70份、61份。通过获取样本的</w:t>
      </w:r>
      <w:r>
        <w:rPr>
          <w:rFonts w:cs="Times New Roman"/>
        </w:rPr>
        <w:t>单位</w:t>
      </w:r>
      <w:r>
        <w:rPr>
          <w:rFonts w:hint="eastAsia" w:cs="Times New Roman"/>
        </w:rPr>
        <w:t>产品</w:t>
      </w:r>
      <w:r>
        <w:rPr>
          <w:rFonts w:cs="Times New Roman"/>
        </w:rPr>
        <w:t>碳排放</w:t>
      </w:r>
      <w:r>
        <w:rPr>
          <w:rFonts w:hint="eastAsia" w:cs="Times New Roman"/>
        </w:rPr>
        <w:t>强度值，对样本数据从低到高进行排序，分别确定“工业过程单位产品碳排放指标”、“装置单位产品碳排放分级指标”。</w:t>
      </w:r>
      <w:r>
        <w:rPr>
          <w:rFonts w:cs="Times New Roman"/>
        </w:rPr>
        <w:t>单位</w:t>
      </w:r>
      <w:r>
        <w:rPr>
          <w:rFonts w:hint="eastAsia" w:cs="Times New Roman"/>
        </w:rPr>
        <w:t>乙烯产品</w:t>
      </w:r>
      <w:r>
        <w:rPr>
          <w:rFonts w:cs="Times New Roman"/>
        </w:rPr>
        <w:t>碳排放</w:t>
      </w:r>
      <w:r>
        <w:rPr>
          <w:rFonts w:hint="eastAsia" w:cs="Times New Roman"/>
        </w:rPr>
        <w:t>强度“</w:t>
      </w:r>
      <w:r>
        <w:rPr>
          <w:rFonts w:cs="Times New Roman"/>
        </w:rPr>
        <w:t>1级</w:t>
      </w:r>
      <w:r>
        <w:rPr>
          <w:rFonts w:hint="eastAsia" w:cs="Times New Roman"/>
        </w:rPr>
        <w:t>值”</w:t>
      </w:r>
      <w:r>
        <w:rPr>
          <w:rFonts w:hint="eastAsia"/>
        </w:rPr>
        <w:t>为前</w:t>
      </w:r>
      <w:r>
        <w:t>10%</w:t>
      </w:r>
      <w:r>
        <w:rPr>
          <w:rFonts w:hint="eastAsia"/>
        </w:rPr>
        <w:t>企业的强度平均数，</w:t>
      </w:r>
      <w:r>
        <w:rPr>
          <w:rFonts w:hint="eastAsia" w:cs="Times New Roman"/>
        </w:rPr>
        <w:t>“</w:t>
      </w:r>
      <w:r>
        <w:rPr>
          <w:rFonts w:cs="Times New Roman"/>
        </w:rPr>
        <w:t>2级</w:t>
      </w:r>
      <w:r>
        <w:rPr>
          <w:rFonts w:hint="eastAsia" w:cs="Times New Roman"/>
        </w:rPr>
        <w:t>值”</w:t>
      </w:r>
      <w:r>
        <w:rPr>
          <w:rFonts w:hint="eastAsia"/>
        </w:rPr>
        <w:t>为前</w:t>
      </w:r>
      <w:r>
        <w:t>30%</w:t>
      </w:r>
      <w:r>
        <w:rPr>
          <w:rFonts w:hint="eastAsia"/>
        </w:rPr>
        <w:t>企业的强度平均数，</w:t>
      </w:r>
      <w:r>
        <w:rPr>
          <w:rFonts w:hint="eastAsia" w:cs="Times New Roman"/>
        </w:rPr>
        <w:t>“</w:t>
      </w:r>
      <w:r>
        <w:rPr>
          <w:rFonts w:cs="Times New Roman"/>
        </w:rPr>
        <w:t>3级</w:t>
      </w:r>
      <w:r>
        <w:rPr>
          <w:rFonts w:hint="eastAsia" w:cs="Times New Roman"/>
        </w:rPr>
        <w:t>值”</w:t>
      </w:r>
      <w:r>
        <w:rPr>
          <w:rFonts w:hint="eastAsia"/>
        </w:rPr>
        <w:t>为前</w:t>
      </w:r>
      <w:r>
        <w:t>70%</w:t>
      </w:r>
      <w:r>
        <w:rPr>
          <w:rFonts w:hint="eastAsia"/>
        </w:rPr>
        <w:t>企业的强度平均数，</w:t>
      </w:r>
      <w:r>
        <w:rPr>
          <w:rFonts w:hint="eastAsia" w:cs="Times New Roman"/>
        </w:rPr>
        <w:t>结果详见表</w:t>
      </w:r>
      <w:r>
        <w:rPr>
          <w:rFonts w:cs="Times New Roman"/>
        </w:rPr>
        <w:t>3</w:t>
      </w:r>
    </w:p>
    <w:p w14:paraId="6C7268CA">
      <w:pPr>
        <w:pStyle w:val="17"/>
        <w:spacing w:after="156"/>
        <w:ind w:firstLine="480"/>
        <w:jc w:val="center"/>
        <w:rPr>
          <w:rFonts w:cs="Times New Roman"/>
        </w:rPr>
      </w:pPr>
      <w:r>
        <w:rPr>
          <w:rFonts w:hint="eastAsia" w:cs="Times New Roman"/>
        </w:rPr>
        <w:t>表3</w:t>
      </w:r>
      <w:r>
        <w:rPr>
          <w:rFonts w:cs="Times New Roman"/>
        </w:rPr>
        <w:t xml:space="preserve">  </w:t>
      </w:r>
      <w:r>
        <w:rPr>
          <w:rFonts w:hint="eastAsia" w:cs="Times New Roman"/>
        </w:rPr>
        <w:t>单位产品碳排放水平统计</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9"/>
        <w:gridCol w:w="2159"/>
        <w:gridCol w:w="1161"/>
        <w:gridCol w:w="1161"/>
        <w:gridCol w:w="1162"/>
      </w:tblGrid>
      <w:tr w14:paraId="4144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689" w:type="pct"/>
            <w:vMerge w:val="restart"/>
            <w:vAlign w:val="center"/>
          </w:tcPr>
          <w:p w14:paraId="17F2CCAA">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指标</w:t>
            </w:r>
          </w:p>
        </w:tc>
        <w:tc>
          <w:tcPr>
            <w:tcW w:w="1267" w:type="pct"/>
            <w:vMerge w:val="restart"/>
            <w:vAlign w:val="center"/>
          </w:tcPr>
          <w:p w14:paraId="0454C221">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单位</w:t>
            </w:r>
          </w:p>
        </w:tc>
        <w:tc>
          <w:tcPr>
            <w:tcW w:w="2044" w:type="pct"/>
            <w:gridSpan w:val="3"/>
            <w:vAlign w:val="center"/>
          </w:tcPr>
          <w:p w14:paraId="6C40B906">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指标</w:t>
            </w:r>
          </w:p>
        </w:tc>
      </w:tr>
      <w:tr w14:paraId="1157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689" w:type="pct"/>
            <w:vMerge w:val="continue"/>
            <w:vAlign w:val="center"/>
          </w:tcPr>
          <w:p w14:paraId="1EEE7843">
            <w:pPr>
              <w:autoSpaceDE w:val="0"/>
              <w:autoSpaceDN w:val="0"/>
              <w:adjustRightInd w:val="0"/>
              <w:jc w:val="center"/>
              <w:rPr>
                <w:rFonts w:ascii="Times New Roman" w:hAnsi="Times New Roman" w:eastAsia="宋体" w:cs="Times New Roman"/>
                <w:color w:val="000000"/>
                <w:kern w:val="0"/>
                <w:szCs w:val="21"/>
              </w:rPr>
            </w:pPr>
          </w:p>
        </w:tc>
        <w:tc>
          <w:tcPr>
            <w:tcW w:w="1267" w:type="pct"/>
            <w:vMerge w:val="continue"/>
            <w:vAlign w:val="center"/>
          </w:tcPr>
          <w:p w14:paraId="13704085">
            <w:pPr>
              <w:autoSpaceDE w:val="0"/>
              <w:autoSpaceDN w:val="0"/>
              <w:adjustRightInd w:val="0"/>
              <w:jc w:val="center"/>
              <w:rPr>
                <w:rFonts w:ascii="Times New Roman" w:hAnsi="Times New Roman" w:eastAsia="宋体" w:cs="Times New Roman"/>
                <w:color w:val="000000"/>
                <w:kern w:val="0"/>
                <w:szCs w:val="21"/>
              </w:rPr>
            </w:pPr>
          </w:p>
        </w:tc>
        <w:tc>
          <w:tcPr>
            <w:tcW w:w="681" w:type="pct"/>
            <w:vAlign w:val="center"/>
          </w:tcPr>
          <w:p w14:paraId="7D74B54B">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1级</w:t>
            </w:r>
          </w:p>
        </w:tc>
        <w:tc>
          <w:tcPr>
            <w:tcW w:w="681" w:type="pct"/>
            <w:vAlign w:val="center"/>
          </w:tcPr>
          <w:p w14:paraId="20273E4A">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2级</w:t>
            </w:r>
          </w:p>
        </w:tc>
        <w:tc>
          <w:tcPr>
            <w:tcW w:w="682" w:type="pct"/>
            <w:vAlign w:val="center"/>
          </w:tcPr>
          <w:p w14:paraId="1FAAEEF1">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3级</w:t>
            </w:r>
          </w:p>
        </w:tc>
      </w:tr>
      <w:tr w14:paraId="6986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689" w:type="pct"/>
            <w:vAlign w:val="center"/>
          </w:tcPr>
          <w:p w14:paraId="303C8083">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工业过程单位产品碳排放</w:t>
            </w:r>
          </w:p>
        </w:tc>
        <w:tc>
          <w:tcPr>
            <w:tcW w:w="1267" w:type="pct"/>
            <w:vAlign w:val="center"/>
          </w:tcPr>
          <w:p w14:paraId="2AA3B75A">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szCs w:val="21"/>
              </w:rPr>
              <w:t>t</w:t>
            </w:r>
            <w:r>
              <w:rPr>
                <w:rFonts w:ascii="Times New Roman" w:hAnsi="Times New Roman" w:eastAsia="宋体" w:cs="Times New Roman"/>
                <w:szCs w:val="21"/>
                <w:vertAlign w:val="subscript"/>
              </w:rPr>
              <w:t>CO</w:t>
            </w:r>
            <w:r>
              <w:rPr>
                <w:rFonts w:ascii="Times New Roman" w:hAnsi="Times New Roman" w:eastAsia="宋体" w:cs="Times New Roman"/>
                <w:position w:val="-6"/>
                <w:szCs w:val="21"/>
                <w:vertAlign w:val="subscript"/>
              </w:rPr>
              <w:t>2</w:t>
            </w:r>
            <w:r>
              <w:rPr>
                <w:rFonts w:ascii="Times New Roman" w:hAnsi="Times New Roman" w:eastAsia="宋体" w:cs="Times New Roman"/>
                <w:szCs w:val="21"/>
              </w:rPr>
              <w:t>/t</w:t>
            </w:r>
            <w:r>
              <w:rPr>
                <w:rFonts w:ascii="Times New Roman" w:hAnsi="Times New Roman" w:eastAsia="宋体" w:cs="Times New Roman"/>
                <w:szCs w:val="21"/>
                <w:vertAlign w:val="subscript"/>
              </w:rPr>
              <w:t>EOE</w:t>
            </w:r>
            <w:r>
              <w:rPr>
                <w:rFonts w:ascii="Times New Roman" w:hAnsi="Times New Roman" w:eastAsia="宋体" w:cs="Times New Roman"/>
                <w:color w:val="000000"/>
                <w:kern w:val="0"/>
                <w:szCs w:val="21"/>
              </w:rPr>
              <w:t xml:space="preserve"> </w:t>
            </w:r>
          </w:p>
        </w:tc>
        <w:tc>
          <w:tcPr>
            <w:tcW w:w="681" w:type="pct"/>
            <w:vAlign w:val="center"/>
          </w:tcPr>
          <w:p w14:paraId="775301A1">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0.24</w:t>
            </w:r>
          </w:p>
        </w:tc>
        <w:tc>
          <w:tcPr>
            <w:tcW w:w="681" w:type="pct"/>
            <w:vAlign w:val="center"/>
          </w:tcPr>
          <w:p w14:paraId="59FEC78C">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0.27</w:t>
            </w:r>
          </w:p>
        </w:tc>
        <w:tc>
          <w:tcPr>
            <w:tcW w:w="682" w:type="pct"/>
            <w:vAlign w:val="center"/>
          </w:tcPr>
          <w:p w14:paraId="2F383553">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0.31</w:t>
            </w:r>
          </w:p>
        </w:tc>
      </w:tr>
      <w:tr w14:paraId="43D2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689" w:type="pct"/>
            <w:vAlign w:val="center"/>
          </w:tcPr>
          <w:p w14:paraId="18038DED">
            <w:pPr>
              <w:autoSpaceDE w:val="0"/>
              <w:autoSpaceDN w:val="0"/>
              <w:adjustRightInd w:val="0"/>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装置单位产品碳排放</w:t>
            </w:r>
          </w:p>
        </w:tc>
        <w:tc>
          <w:tcPr>
            <w:tcW w:w="1267" w:type="pct"/>
            <w:vAlign w:val="center"/>
          </w:tcPr>
          <w:p w14:paraId="45D2F6DF">
            <w:pPr>
              <w:autoSpaceDE w:val="0"/>
              <w:autoSpaceDN w:val="0"/>
              <w:adjustRightInd w:val="0"/>
              <w:jc w:val="center"/>
              <w:rPr>
                <w:rFonts w:ascii="Times New Roman" w:hAnsi="Times New Roman" w:eastAsia="宋体" w:cs="Times New Roman"/>
                <w:szCs w:val="21"/>
              </w:rPr>
            </w:pPr>
            <w:r>
              <w:rPr>
                <w:rFonts w:ascii="Times New Roman" w:hAnsi="Times New Roman" w:cs="Times New Roman"/>
                <w:szCs w:val="21"/>
              </w:rPr>
              <w:t>t</w:t>
            </w:r>
            <w:r>
              <w:rPr>
                <w:rFonts w:ascii="Times New Roman" w:hAnsi="Times New Roman" w:cs="Times New Roman"/>
                <w:szCs w:val="21"/>
                <w:vertAlign w:val="subscript"/>
              </w:rPr>
              <w:t>CO</w:t>
            </w:r>
            <w:r>
              <w:rPr>
                <w:rFonts w:ascii="Times New Roman" w:hAnsi="Times New Roman" w:cs="Times New Roman"/>
                <w:position w:val="-6"/>
                <w:szCs w:val="21"/>
                <w:vertAlign w:val="subscript"/>
              </w:rPr>
              <w:t>2</w:t>
            </w:r>
            <w:r>
              <w:rPr>
                <w:rFonts w:ascii="Times New Roman" w:hAnsi="Times New Roman" w:cs="Times New Roman"/>
                <w:szCs w:val="21"/>
              </w:rPr>
              <w:t>/t</w:t>
            </w:r>
            <w:r>
              <w:rPr>
                <w:rFonts w:ascii="Times New Roman" w:hAnsi="Times New Roman" w:cs="Times New Roman"/>
                <w:szCs w:val="21"/>
                <w:vertAlign w:val="subscript"/>
              </w:rPr>
              <w:t>EOE</w:t>
            </w:r>
            <w:r>
              <w:rPr>
                <w:rFonts w:ascii="Times New Roman" w:hAnsi="Times New Roman" w:cs="Times New Roman"/>
                <w:color w:val="000000"/>
                <w:kern w:val="0"/>
                <w:szCs w:val="21"/>
              </w:rPr>
              <w:t xml:space="preserve"> </w:t>
            </w:r>
          </w:p>
        </w:tc>
        <w:tc>
          <w:tcPr>
            <w:tcW w:w="681" w:type="pct"/>
            <w:vAlign w:val="center"/>
          </w:tcPr>
          <w:p w14:paraId="79F3552B">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cs="Times New Roman"/>
                <w:color w:val="000000"/>
                <w:kern w:val="0"/>
                <w:szCs w:val="21"/>
              </w:rPr>
              <w:t>0.58</w:t>
            </w:r>
          </w:p>
        </w:tc>
        <w:tc>
          <w:tcPr>
            <w:tcW w:w="681" w:type="pct"/>
            <w:vAlign w:val="center"/>
          </w:tcPr>
          <w:p w14:paraId="51652C44">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cs="Times New Roman"/>
                <w:color w:val="000000"/>
                <w:kern w:val="0"/>
                <w:szCs w:val="21"/>
              </w:rPr>
              <w:t>0.76</w:t>
            </w:r>
          </w:p>
        </w:tc>
        <w:tc>
          <w:tcPr>
            <w:tcW w:w="682" w:type="pct"/>
            <w:vAlign w:val="center"/>
          </w:tcPr>
          <w:p w14:paraId="045EF5F5">
            <w:pPr>
              <w:autoSpaceDE w:val="0"/>
              <w:autoSpaceDN w:val="0"/>
              <w:adjustRightInd w:val="0"/>
              <w:jc w:val="center"/>
              <w:rPr>
                <w:rFonts w:ascii="Times New Roman" w:hAnsi="Times New Roman" w:eastAsia="宋体" w:cs="Times New Roman"/>
                <w:color w:val="000000"/>
                <w:kern w:val="0"/>
                <w:szCs w:val="21"/>
              </w:rPr>
            </w:pPr>
            <w:r>
              <w:rPr>
                <w:rFonts w:ascii="Times New Roman" w:hAnsi="Times New Roman" w:cs="Times New Roman"/>
                <w:color w:val="000000"/>
                <w:kern w:val="0"/>
                <w:szCs w:val="21"/>
              </w:rPr>
              <w:t>0.99</w:t>
            </w:r>
          </w:p>
        </w:tc>
      </w:tr>
    </w:tbl>
    <w:p w14:paraId="3363E7F1">
      <w:pPr>
        <w:pStyle w:val="3"/>
        <w:spacing w:before="156" w:after="156"/>
      </w:pPr>
      <w:r>
        <w:rPr>
          <w:rFonts w:hint="eastAsia"/>
        </w:rPr>
        <w:t>环氧乙烷/乙二醇装置减污降碳措施</w:t>
      </w:r>
    </w:p>
    <w:p w14:paraId="21122772">
      <w:pPr>
        <w:pStyle w:val="17"/>
        <w:spacing w:after="156"/>
        <w:ind w:firstLine="480"/>
      </w:pPr>
      <w:r>
        <w:rPr>
          <w:rFonts w:hint="eastAsia"/>
        </w:rPr>
        <w:t>本次调研</w:t>
      </w:r>
      <w:r>
        <w:t>23家乙烯生产企业</w:t>
      </w:r>
      <w:r>
        <w:rPr>
          <w:rFonts w:hint="eastAsia"/>
        </w:rPr>
        <w:t>，有10家企业对二氧化碳放空气采取了回收利用，回收利用规模差别较大，最小的仅有几千吨的回收量，最大规模为10万吨/年。二氧化碳产品用途广泛，除了用于碳酸饮料、食品加工和保鲜、粮食贮存之外，还可用于机械制造、焊接、船舶工业、生物制药、化工产品等。</w:t>
      </w:r>
    </w:p>
    <w:p w14:paraId="38A32C6E">
      <w:pPr>
        <w:pStyle w:val="17"/>
        <w:spacing w:after="156"/>
        <w:ind w:firstLine="480"/>
      </w:pPr>
      <w:r>
        <w:rPr>
          <w:rFonts w:hint="eastAsia"/>
        </w:rPr>
        <w:t>此外，外购蒸汽引起的间接排放量在环氧乙烷/乙二醇装置中总排放量占比也较大，企业采取的节能措施同时实现降碳：压缩机、泵、塔内件等选用高效率的设备；利用氧化反应放出的热量，减少界外蒸汽的用量；充分挖掘低品位热量的再利用。</w:t>
      </w:r>
    </w:p>
    <w:p w14:paraId="40FC3A48">
      <w:pPr>
        <w:pStyle w:val="2"/>
        <w:spacing w:before="156" w:after="156"/>
      </w:pPr>
      <w:r>
        <w:rPr>
          <w:rFonts w:hint="eastAsia"/>
        </w:rPr>
        <w:t>标准编制的基本原则和技术路线</w:t>
      </w:r>
    </w:p>
    <w:p w14:paraId="5C4C5707">
      <w:pPr>
        <w:pStyle w:val="3"/>
        <w:spacing w:before="156" w:after="156"/>
      </w:pPr>
      <w:r>
        <w:rPr>
          <w:rFonts w:hint="eastAsia"/>
        </w:rPr>
        <w:t>标准编制的基本原则</w:t>
      </w:r>
    </w:p>
    <w:p w14:paraId="3EFB204C">
      <w:pPr>
        <w:pStyle w:val="17"/>
        <w:ind w:firstLine="480"/>
      </w:pPr>
      <w:r>
        <w:rPr>
          <w:rFonts w:hint="eastAsia"/>
        </w:rPr>
        <w:t>《环氧乙烷/乙二醇装置碳排放基准》团体标准制定的目的是反应该装置碳排放水平现状，保证标准的科学性和实用性，引领乙烯工业绿色低碳发展。</w:t>
      </w:r>
    </w:p>
    <w:p w14:paraId="6C329E1F">
      <w:pPr>
        <w:pStyle w:val="17"/>
        <w:ind w:firstLine="480"/>
      </w:pPr>
      <w:r>
        <w:rPr>
          <w:rFonts w:hint="eastAsia"/>
        </w:rPr>
        <w:t>编制时遵循了下列原则：</w:t>
      </w:r>
    </w:p>
    <w:p w14:paraId="13A6D683">
      <w:pPr>
        <w:pStyle w:val="17"/>
        <w:ind w:firstLine="480"/>
      </w:pPr>
      <w:r>
        <w:rPr>
          <w:rFonts w:hint="eastAsia"/>
        </w:rPr>
        <w:t>（</w:t>
      </w:r>
      <w:r>
        <w:rPr>
          <w:rFonts w:cs="Times New Roman"/>
        </w:rPr>
        <w:t>1</w:t>
      </w:r>
      <w:r>
        <w:rPr>
          <w:rFonts w:hint="eastAsia"/>
        </w:rPr>
        <w:t>）充分考虑我国乙二醇工业碳排放水平和特点，以及装置发展的需求；</w:t>
      </w:r>
      <w:r>
        <w:t xml:space="preserve"> </w:t>
      </w:r>
    </w:p>
    <w:p w14:paraId="47137A2A">
      <w:pPr>
        <w:pStyle w:val="17"/>
        <w:ind w:firstLine="480"/>
      </w:pPr>
      <w:r>
        <w:rPr>
          <w:rFonts w:hint="eastAsia"/>
        </w:rPr>
        <w:t>（</w:t>
      </w:r>
      <w:r>
        <w:rPr>
          <w:rFonts w:cs="Times New Roman"/>
        </w:rPr>
        <w:t>2</w:t>
      </w:r>
      <w:r>
        <w:rPr>
          <w:rFonts w:hint="eastAsia"/>
        </w:rPr>
        <w:t>）符合国家乙二醇工业相关政策。</w:t>
      </w:r>
    </w:p>
    <w:p w14:paraId="4BFD74DA">
      <w:pPr>
        <w:pStyle w:val="3"/>
        <w:spacing w:before="156" w:after="156"/>
      </w:pPr>
      <w:r>
        <w:rPr>
          <w:rFonts w:hint="eastAsia"/>
        </w:rPr>
        <w:t>标准编制的技术路线</w:t>
      </w:r>
    </w:p>
    <w:p w14:paraId="76788CAF">
      <w:pPr>
        <w:pStyle w:val="17"/>
        <w:ind w:firstLine="480"/>
      </w:pPr>
      <w:r>
        <w:rPr>
          <w:rFonts w:hint="eastAsia"/>
        </w:rPr>
        <w:t>本标准对现有环氧乙烷/乙二醇装置碳排放数据充分分调研的基础上，开展了企业碳减排措施等方面的研究工作，确定标准框架和主要技术要求，并按照标准编制的要求形成征求意见稿。标准编制技术路线如图</w:t>
      </w:r>
      <w:r>
        <w:t>4</w:t>
      </w:r>
      <w:r>
        <w:rPr>
          <w:rFonts w:hint="eastAsia"/>
        </w:rPr>
        <w:t>。</w:t>
      </w:r>
    </w:p>
    <w:p w14:paraId="541DDCF7">
      <w:pPr>
        <w:pStyle w:val="17"/>
        <w:ind w:firstLine="0" w:firstLineChars="0"/>
        <w:jc w:val="center"/>
      </w:pPr>
      <w:r>
        <w:drawing>
          <wp:inline distT="0" distB="0" distL="0" distR="0">
            <wp:extent cx="4252595" cy="59518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257741" cy="5959095"/>
                    </a:xfrm>
                    <a:prstGeom prst="rect">
                      <a:avLst/>
                    </a:prstGeom>
                  </pic:spPr>
                </pic:pic>
              </a:graphicData>
            </a:graphic>
          </wp:inline>
        </w:drawing>
      </w:r>
    </w:p>
    <w:p w14:paraId="422E6730">
      <w:pPr>
        <w:pStyle w:val="24"/>
        <w:spacing w:after="156"/>
      </w:pPr>
      <w:r>
        <w:rPr>
          <w:rFonts w:hint="eastAsia"/>
        </w:rPr>
        <w:t>图</w:t>
      </w:r>
      <w:r>
        <w:t xml:space="preserve">2  </w:t>
      </w:r>
      <w:r>
        <w:rPr>
          <w:rFonts w:hint="eastAsia"/>
        </w:rPr>
        <w:t>技术图线图</w:t>
      </w:r>
    </w:p>
    <w:p w14:paraId="68BC5C46">
      <w:pPr>
        <w:pStyle w:val="2"/>
        <w:spacing w:before="156" w:after="156"/>
      </w:pPr>
      <w:r>
        <w:rPr>
          <w:rFonts w:hint="eastAsia"/>
        </w:rPr>
        <w:t>标准主要编制内容和编制说明</w:t>
      </w:r>
    </w:p>
    <w:p w14:paraId="26C2DEC8">
      <w:pPr>
        <w:pStyle w:val="3"/>
        <w:spacing w:before="156" w:after="156"/>
      </w:pPr>
      <w:r>
        <w:rPr>
          <w:rFonts w:hint="eastAsia"/>
        </w:rPr>
        <w:t>适用范围</w:t>
      </w:r>
    </w:p>
    <w:p w14:paraId="354F2F7F">
      <w:pPr>
        <w:pStyle w:val="17"/>
        <w:ind w:firstLine="480"/>
      </w:pPr>
      <w:r>
        <w:rPr>
          <w:rFonts w:hint="eastAsia"/>
        </w:rPr>
        <w:t>本标准适用于</w:t>
      </w:r>
      <w:r>
        <w:rPr>
          <w:rFonts w:cs="Times New Roman"/>
        </w:rPr>
        <w:t>我国现有的</w:t>
      </w:r>
      <w:r>
        <w:rPr>
          <w:rFonts w:hint="eastAsia" w:cs="Times New Roman"/>
        </w:rPr>
        <w:t>乙烯路线的环氧乙烷/乙二醇装置</w:t>
      </w:r>
      <w:r>
        <w:rPr>
          <w:rFonts w:hint="eastAsia"/>
        </w:rPr>
        <w:t>碳排放量的计算、考核，以及新建或改（扩）建乙烯路线的环氧乙烷/乙二醇装置碳排放控制。</w:t>
      </w:r>
    </w:p>
    <w:p w14:paraId="5FBF95B7">
      <w:pPr>
        <w:pStyle w:val="3"/>
        <w:spacing w:before="156" w:after="156"/>
      </w:pPr>
      <w:r>
        <w:rPr>
          <w:rFonts w:hint="eastAsia"/>
        </w:rPr>
        <w:t>术语和定义</w:t>
      </w:r>
    </w:p>
    <w:p w14:paraId="7EF2D014">
      <w:pPr>
        <w:pStyle w:val="17"/>
        <w:ind w:firstLine="480"/>
      </w:pPr>
      <w:r>
        <w:rPr>
          <w:rFonts w:hint="eastAsia"/>
        </w:rPr>
        <w:t>本标准参照《工业企业温室气体排放核算和报告通则》（</w:t>
      </w:r>
      <w:r>
        <w:t>GB/T 32150-2015</w:t>
      </w:r>
      <w:r>
        <w:rPr>
          <w:rFonts w:hint="eastAsia"/>
        </w:rPr>
        <w:t>）、《碳排放核算与报告要求</w:t>
      </w:r>
      <w:r>
        <w:t xml:space="preserve"> 第15部分：石油化工企业</w:t>
      </w:r>
      <w:r>
        <w:rPr>
          <w:rFonts w:hint="eastAsia"/>
        </w:rPr>
        <w:t>》（</w:t>
      </w:r>
      <w:r>
        <w:t>GB∕T 32151.15</w:t>
      </w:r>
      <w:r>
        <w:rPr>
          <w:rFonts w:hint="eastAsia"/>
        </w:rPr>
        <w:t>-</w:t>
      </w:r>
      <w:r>
        <w:t>2023）</w:t>
      </w:r>
      <w:r>
        <w:rPr>
          <w:rFonts w:hint="eastAsia"/>
        </w:rPr>
        <w:t>、《乙二醇单位产品能源消耗限额》（GB 32048</w:t>
      </w:r>
      <w:r>
        <w:t xml:space="preserve"> </w:t>
      </w:r>
      <w:r>
        <w:rPr>
          <w:rFonts w:hint="eastAsia"/>
        </w:rPr>
        <w:t>2015）等文件中的术语和定义。</w:t>
      </w:r>
    </w:p>
    <w:p w14:paraId="3CB51B83">
      <w:pPr>
        <w:pStyle w:val="3"/>
        <w:spacing w:before="156" w:after="156"/>
      </w:pPr>
      <w:r>
        <w:rPr>
          <w:rFonts w:hint="eastAsia"/>
        </w:rPr>
        <w:t>碳排放指标</w:t>
      </w:r>
    </w:p>
    <w:p w14:paraId="5ADAD5D1">
      <w:pPr>
        <w:pStyle w:val="17"/>
        <w:ind w:firstLine="480"/>
      </w:pPr>
      <w:r>
        <w:rPr>
          <w:rFonts w:hint="eastAsia"/>
        </w:rPr>
        <w:t>此部分给出“工业过程单位产品碳排放指标”、“装置单位产品碳排放指标”两类碳排放强度限额的等级和指标值。</w:t>
      </w:r>
    </w:p>
    <w:p w14:paraId="10194AF5">
      <w:pPr>
        <w:pStyle w:val="17"/>
        <w:ind w:firstLine="480"/>
      </w:pPr>
      <w:bookmarkStart w:id="4" w:name="_Hlk120562397"/>
      <w:r>
        <w:rPr>
          <w:rFonts w:hint="eastAsia"/>
        </w:rPr>
        <w:t>根据调研样本数据，划定前10</w:t>
      </w:r>
      <w:r>
        <w:t>%</w:t>
      </w:r>
      <w:r>
        <w:rPr>
          <w:rFonts w:hint="eastAsia"/>
        </w:rPr>
        <w:t>企业碳排放强度平均值、前</w:t>
      </w:r>
      <w:r>
        <w:t>30%</w:t>
      </w:r>
      <w:r>
        <w:rPr>
          <w:rFonts w:hint="eastAsia"/>
        </w:rPr>
        <w:t>企业碳排放强度平均值和前</w:t>
      </w:r>
      <w:r>
        <w:t>70%</w:t>
      </w:r>
      <w:r>
        <w:rPr>
          <w:rFonts w:hint="eastAsia"/>
        </w:rPr>
        <w:t>企业碳排放强度分别为“1级值”、“</w:t>
      </w:r>
      <w:r>
        <w:t>2</w:t>
      </w:r>
      <w:r>
        <w:rPr>
          <w:rFonts w:hint="eastAsia"/>
        </w:rPr>
        <w:t>级值”、“</w:t>
      </w:r>
      <w:r>
        <w:t>3</w:t>
      </w:r>
      <w:r>
        <w:rPr>
          <w:rFonts w:hint="eastAsia"/>
        </w:rPr>
        <w:t>级值”</w:t>
      </w:r>
      <w:bookmarkEnd w:id="4"/>
      <w:r>
        <w:rPr>
          <w:rFonts w:hint="eastAsia"/>
        </w:rPr>
        <w:t>。</w:t>
      </w:r>
    </w:p>
    <w:p w14:paraId="49F8B8DF">
      <w:pPr>
        <w:pStyle w:val="3"/>
        <w:spacing w:before="156" w:after="156"/>
      </w:pPr>
      <w:r>
        <w:rPr>
          <w:rFonts w:hint="eastAsia"/>
        </w:rPr>
        <w:t>统计范围和计算方法</w:t>
      </w:r>
    </w:p>
    <w:p w14:paraId="22380A38">
      <w:pPr>
        <w:pStyle w:val="17"/>
        <w:ind w:firstLine="480"/>
      </w:pPr>
      <w:r>
        <w:rPr>
          <w:rFonts w:hint="eastAsia"/>
        </w:rPr>
        <w:t>本部分参考《碳排放核算与报告要求</w:t>
      </w:r>
      <w:r>
        <w:t xml:space="preserve"> 第15部分：石油化工企业</w:t>
      </w:r>
      <w:r>
        <w:rPr>
          <w:rFonts w:hint="eastAsia"/>
        </w:rPr>
        <w:t>》（</w:t>
      </w:r>
      <w:r>
        <w:t>GB/T 32151.15-2023</w:t>
      </w:r>
      <w:r>
        <w:rPr>
          <w:rFonts w:hint="eastAsia"/>
        </w:rPr>
        <w:t>）、</w:t>
      </w:r>
      <w:r>
        <w:t>《甲醇、乙二醇和二甲醚单位产品能源消耗限额》（GB 29436-2023）</w:t>
      </w:r>
      <w:r>
        <w:rPr>
          <w:rFonts w:hint="eastAsia"/>
        </w:rPr>
        <w:t>，规定了环氧乙烷/乙二醇工业过程和装置的碳排放量的统计范围、碳排放核算方法、及单位产品碳排放核算方法。</w:t>
      </w:r>
    </w:p>
    <w:p w14:paraId="4B669F3A">
      <w:pPr>
        <w:pStyle w:val="3"/>
        <w:spacing w:before="156" w:after="156"/>
      </w:pPr>
      <w:r>
        <w:rPr>
          <w:rFonts w:hint="eastAsia"/>
        </w:rPr>
        <w:t>降碳管理及措施</w:t>
      </w:r>
    </w:p>
    <w:p w14:paraId="083D3923">
      <w:pPr>
        <w:pStyle w:val="17"/>
        <w:ind w:firstLine="480"/>
      </w:pPr>
      <w:r>
        <w:rPr>
          <w:rFonts w:hint="eastAsia"/>
        </w:rPr>
        <w:t>本项目根据《六部门联合印发关于“十四五”推动石化化工行业高质量发展的指导意见》（工信部联原〔</w:t>
      </w:r>
      <w:r>
        <w:t>2022〕34号</w:t>
      </w:r>
      <w:r>
        <w:rPr>
          <w:rFonts w:hint="eastAsia"/>
        </w:rPr>
        <w:t>）、</w:t>
      </w:r>
      <w:r>
        <w:t>《减污降碳协同增效实施方案》（</w:t>
      </w:r>
      <w:r>
        <w:rPr>
          <w:rFonts w:hint="eastAsia"/>
        </w:rPr>
        <w:t>环综合</w:t>
      </w:r>
      <w:r>
        <w:t>[2022]42号）</w:t>
      </w:r>
      <w:r>
        <w:rPr>
          <w:rFonts w:hint="eastAsia"/>
        </w:rPr>
        <w:t>等的节能管理及措施，结合调研企业现状制定了降碳管理及措施。</w:t>
      </w:r>
    </w:p>
    <w:p w14:paraId="0645546A">
      <w:pPr>
        <w:pStyle w:val="2"/>
        <w:spacing w:before="156" w:after="156"/>
      </w:pPr>
      <w:r>
        <w:rPr>
          <w:rFonts w:hint="eastAsia"/>
        </w:rPr>
        <w:t>与国内、外同类标准水平的对比情况</w:t>
      </w:r>
    </w:p>
    <w:p w14:paraId="2894B7C9">
      <w:pPr>
        <w:pStyle w:val="3"/>
        <w:spacing w:before="156" w:after="156"/>
      </w:pPr>
      <w:r>
        <w:rPr>
          <w:rFonts w:hint="eastAsia"/>
        </w:rPr>
        <w:t>与国内同类标准情况</w:t>
      </w:r>
    </w:p>
    <w:p w14:paraId="24E4DED5">
      <w:pPr>
        <w:pStyle w:val="17"/>
        <w:ind w:firstLine="480"/>
      </w:pPr>
      <w:r>
        <w:rPr>
          <w:rFonts w:hint="eastAsia"/>
        </w:rPr>
        <w:t>国内尚无同类标准。</w:t>
      </w:r>
    </w:p>
    <w:p w14:paraId="20BB5AF2">
      <w:pPr>
        <w:pStyle w:val="3"/>
        <w:spacing w:before="156" w:after="156"/>
      </w:pPr>
      <w:r>
        <w:rPr>
          <w:rFonts w:hint="eastAsia"/>
        </w:rPr>
        <w:t>与国外同类标准水平的对比情况</w:t>
      </w:r>
    </w:p>
    <w:p w14:paraId="50399A50">
      <w:pPr>
        <w:pStyle w:val="4"/>
        <w:spacing w:before="156" w:after="156"/>
      </w:pPr>
      <w:r>
        <w:rPr>
          <w:rFonts w:hint="eastAsia"/>
        </w:rPr>
        <w:t>核算边界对比情况</w:t>
      </w:r>
    </w:p>
    <w:p w14:paraId="0DF8EF12">
      <w:pPr>
        <w:pStyle w:val="17"/>
        <w:ind w:firstLine="480"/>
      </w:pPr>
      <w:r>
        <w:rPr>
          <w:rFonts w:hint="eastAsia"/>
        </w:rPr>
        <w:t>欧盟碳市场的特定行业指南中欧盟</w:t>
      </w:r>
      <w:r>
        <w:t>ETS指令和FAR中规定的要求</w:t>
      </w:r>
      <w:r>
        <w:rPr>
          <w:rFonts w:hint="eastAsia"/>
        </w:rPr>
        <w:t>进行了澄清和解释</w:t>
      </w:r>
      <w:r>
        <w:t>，</w:t>
      </w:r>
      <w:r>
        <w:rPr>
          <w:rFonts w:hint="eastAsia"/>
        </w:rPr>
        <w:t>有助于</w:t>
      </w:r>
      <w:r>
        <w:t>对些具有法律约束力的规则</w:t>
      </w:r>
      <w:r>
        <w:rPr>
          <w:rFonts w:hint="eastAsia"/>
        </w:rPr>
        <w:t>的理解</w:t>
      </w:r>
      <w:r>
        <w:t>。</w:t>
      </w:r>
      <w:r>
        <w:rPr>
          <w:rFonts w:hint="eastAsia"/>
        </w:rPr>
        <w:t>其中关于环氧乙烷/乙二醇装置碳排放核算边界规定为：</w:t>
      </w:r>
      <w:r>
        <w:t>All processes directly or indirectly linked to the process units EO production，EO purification and glycol section are included..</w:t>
      </w:r>
    </w:p>
    <w:p w14:paraId="16C6585A">
      <w:pPr>
        <w:pStyle w:val="7"/>
        <w:spacing w:line="360" w:lineRule="auto"/>
        <w:ind w:firstLine="482"/>
        <w:rPr>
          <w:rFonts w:ascii="Times New Roman" w:hAnsi="Times New Roman" w:eastAsia="宋体" w:cs="宋体"/>
          <w:sz w:val="24"/>
          <w:szCs w:val="20"/>
        </w:rPr>
      </w:pPr>
      <w:r>
        <w:rPr>
          <w:rFonts w:hint="eastAsia" w:ascii="Times New Roman" w:hAnsi="Times New Roman" w:eastAsia="宋体" w:cs="宋体"/>
          <w:sz w:val="24"/>
          <w:szCs w:val="20"/>
        </w:rPr>
        <w:t>本文件统计范围包括环氧化反应、二氧化碳脱除及环氧乙烷回收、环氧乙烷精制及储存、乙二醇反应和回收、乙二醇精制及储存等生产系统的碳排放。</w:t>
      </w:r>
    </w:p>
    <w:p w14:paraId="77071AC6">
      <w:pPr>
        <w:pStyle w:val="17"/>
        <w:ind w:firstLine="480"/>
      </w:pPr>
      <w:r>
        <w:rPr>
          <w:rFonts w:hint="eastAsia"/>
        </w:rPr>
        <w:t>本标准环氧乙烷/乙二醇装置核算边界基本与欧盟是一致的，有利于碳排放指标与欧盟对标。</w:t>
      </w:r>
    </w:p>
    <w:p w14:paraId="2623F317">
      <w:pPr>
        <w:pStyle w:val="4"/>
        <w:spacing w:before="156" w:after="156"/>
      </w:pPr>
      <w:r>
        <w:rPr>
          <w:rFonts w:hint="eastAsia"/>
        </w:rPr>
        <w:t>碳排放指标对比情况</w:t>
      </w:r>
    </w:p>
    <w:p w14:paraId="61F91A69">
      <w:pPr>
        <w:pStyle w:val="17"/>
        <w:ind w:firstLine="480"/>
      </w:pPr>
      <w:r>
        <w:rPr>
          <w:rFonts w:hint="eastAsia"/>
        </w:rPr>
        <w:t>欧盟《</w:t>
      </w:r>
      <w:r>
        <w:t>COMMISSION IMPLEMENTING REGULATION（EU）2021/447》</w:t>
      </w:r>
      <w:r>
        <w:rPr>
          <w:rFonts w:hint="eastAsia"/>
        </w:rPr>
        <w:t>中规定了环氧乙烷/乙二醇装置的碳排放基准线，其中2016、2017年前1</w:t>
      </w:r>
      <w:r>
        <w:t>0%</w:t>
      </w:r>
      <w:r>
        <w:rPr>
          <w:rFonts w:hint="eastAsia"/>
        </w:rPr>
        <w:t>装置的平均值为0.314</w:t>
      </w:r>
      <w:r>
        <w:t>t</w:t>
      </w:r>
      <w:r>
        <w:rPr>
          <w:vertAlign w:val="subscript"/>
        </w:rPr>
        <w:t>CO2</w:t>
      </w:r>
      <w:r>
        <w:t>/</w:t>
      </w:r>
      <w:r>
        <w:rPr>
          <w:rFonts w:hint="eastAsia"/>
        </w:rPr>
        <w:t>t</w:t>
      </w:r>
      <w:r>
        <w:rPr>
          <w:rFonts w:hint="eastAsia"/>
          <w:vertAlign w:val="subscript"/>
        </w:rPr>
        <w:t>E</w:t>
      </w:r>
      <w:r>
        <w:rPr>
          <w:vertAlign w:val="subscript"/>
        </w:rPr>
        <w:t>OE</w:t>
      </w:r>
      <w:r>
        <w:rPr>
          <w:rFonts w:hint="eastAsia"/>
        </w:rPr>
        <w:t>、2021-2025年该装置的碳排放基准值为0389</w:t>
      </w:r>
      <w:r>
        <w:t xml:space="preserve"> t</w:t>
      </w:r>
      <w:r>
        <w:rPr>
          <w:vertAlign w:val="subscript"/>
        </w:rPr>
        <w:t>CO2</w:t>
      </w:r>
      <w:r>
        <w:t>/</w:t>
      </w:r>
      <w:r>
        <w:rPr>
          <w:rFonts w:hint="eastAsia"/>
        </w:rPr>
        <w:t>t</w:t>
      </w:r>
      <w:r>
        <w:rPr>
          <w:rFonts w:hint="eastAsia"/>
          <w:vertAlign w:val="subscript"/>
        </w:rPr>
        <w:t>E</w:t>
      </w:r>
      <w:r>
        <w:rPr>
          <w:vertAlign w:val="subscript"/>
        </w:rPr>
        <w:t>OE</w:t>
      </w:r>
      <w:r>
        <w:rPr>
          <w:rFonts w:hint="eastAsia"/>
        </w:rPr>
        <w:t>。</w:t>
      </w:r>
    </w:p>
    <w:p w14:paraId="45010505">
      <w:pPr>
        <w:pStyle w:val="2"/>
        <w:spacing w:before="156" w:after="156"/>
      </w:pPr>
      <w:r>
        <w:rPr>
          <w:rFonts w:hint="eastAsia"/>
        </w:rPr>
        <w:t>与现行法律、法规和强制性标准的关系</w:t>
      </w:r>
    </w:p>
    <w:p w14:paraId="603D9125">
      <w:pPr>
        <w:pStyle w:val="17"/>
        <w:ind w:firstLine="480"/>
      </w:pPr>
      <w:r>
        <w:rPr>
          <w:rFonts w:hint="eastAsia"/>
        </w:rPr>
        <w:t>至标准编制之日尚未发现与计划编制标准相冲突的现行法律、法规和强制性国家标准。</w:t>
      </w:r>
    </w:p>
    <w:p w14:paraId="3EF99937">
      <w:pPr>
        <w:pStyle w:val="2"/>
        <w:spacing w:before="156" w:after="156"/>
      </w:pPr>
      <w:r>
        <w:rPr>
          <w:rFonts w:hint="eastAsia"/>
        </w:rPr>
        <w:t>重大分歧意见的处理</w:t>
      </w:r>
    </w:p>
    <w:p w14:paraId="4A8B1BD9">
      <w:pPr>
        <w:pStyle w:val="17"/>
        <w:ind w:firstLine="480"/>
      </w:pPr>
      <w:r>
        <w:rPr>
          <w:rFonts w:hint="eastAsia"/>
        </w:rPr>
        <w:t>暂无。</w:t>
      </w:r>
    </w:p>
    <w:p w14:paraId="63AE7B0E">
      <w:pPr>
        <w:pStyle w:val="2"/>
        <w:spacing w:before="156" w:after="156"/>
      </w:pPr>
      <w:r>
        <w:rPr>
          <w:rFonts w:hint="eastAsia"/>
        </w:rPr>
        <w:t>其他应予以说明的事项</w:t>
      </w:r>
    </w:p>
    <w:p w14:paraId="0B390714">
      <w:pPr>
        <w:pStyle w:val="17"/>
        <w:ind w:firstLine="480"/>
      </w:pPr>
      <w:r>
        <w:rPr>
          <w:rFonts w:hint="eastAsia"/>
        </w:rPr>
        <w:t>建议本标准发布实施后，对环氧乙烷/乙二醇装置或新建项目的CO</w:t>
      </w:r>
      <w:r>
        <w:rPr>
          <w:rFonts w:hint="eastAsia"/>
          <w:vertAlign w:val="subscript"/>
        </w:rPr>
        <w:t>2</w:t>
      </w:r>
      <w:r>
        <w:rPr>
          <w:rFonts w:hint="eastAsia"/>
        </w:rPr>
        <w:t>排放水平、降碳技术和措施的应用情况等进行持续跟踪并更新相应数据，适时修订本标准。</w:t>
      </w:r>
    </w:p>
    <w:p w14:paraId="2FF92F4D">
      <w:pPr>
        <w:pStyle w:val="17"/>
        <w:ind w:firstLine="480"/>
      </w:pPr>
      <w:r>
        <w:rPr>
          <w:rFonts w:hint="eastAsia"/>
        </w:rPr>
        <w:t>建议实时跟踪美国和欧盟等发达国家地区相关行业和产品碳排放核算和基准制订的方法，针对目前标准制订存在的技术问题开展进一步的研究，适时将本标准上升为行业或国家标准。</w:t>
      </w:r>
    </w:p>
    <w:p w14:paraId="3B9CB525">
      <w:pPr>
        <w:pStyle w:val="17"/>
        <w:ind w:firstLine="48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C45CD"/>
    <w:multiLevelType w:val="multilevel"/>
    <w:tmpl w:val="4CEC45CD"/>
    <w:lvl w:ilvl="0" w:tentative="0">
      <w:start w:val="1"/>
      <w:numFmt w:val="decimal"/>
      <w:pStyle w:val="2"/>
      <w:lvlText w:val="%1"/>
      <w:lvlJc w:val="left"/>
      <w:pPr>
        <w:tabs>
          <w:tab w:val="left" w:pos="454"/>
        </w:tabs>
        <w:ind w:left="0" w:firstLine="0"/>
      </w:pPr>
      <w:rPr>
        <w:rFonts w:hint="eastAsia"/>
      </w:rPr>
    </w:lvl>
    <w:lvl w:ilvl="1" w:tentative="0">
      <w:start w:val="1"/>
      <w:numFmt w:val="decimal"/>
      <w:pStyle w:val="3"/>
      <w:lvlText w:val="%1.%2"/>
      <w:lvlJc w:val="left"/>
      <w:pPr>
        <w:tabs>
          <w:tab w:val="left" w:pos="0"/>
        </w:tabs>
        <w:ind w:left="0" w:firstLine="0"/>
      </w:pPr>
      <w:rPr>
        <w:rFonts w:hint="eastAsia"/>
      </w:rPr>
    </w:lvl>
    <w:lvl w:ilvl="2" w:tentative="0">
      <w:start w:val="1"/>
      <w:numFmt w:val="decimal"/>
      <w:pStyle w:val="4"/>
      <w:lvlText w:val="%1.%2.%3"/>
      <w:lvlJc w:val="left"/>
      <w:pPr>
        <w:tabs>
          <w:tab w:val="left" w:pos="720"/>
        </w:tabs>
        <w:ind w:left="720" w:hanging="720"/>
      </w:pPr>
      <w:rPr>
        <w:rFonts w:hint="default" w:ascii="Times New Roman" w:hAnsi="Times New Roman" w:cs="Times New Roman"/>
      </w:rPr>
    </w:lvl>
    <w:lvl w:ilvl="3" w:tentative="0">
      <w:start w:val="1"/>
      <w:numFmt w:val="decimal"/>
      <w:pStyle w:val="5"/>
      <w:lvlText w:val="%1.%2.%3.%4"/>
      <w:lvlJc w:val="left"/>
      <w:pPr>
        <w:tabs>
          <w:tab w:val="left" w:pos="864"/>
        </w:tabs>
        <w:ind w:left="864" w:hanging="86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787B5C53"/>
    <w:multiLevelType w:val="multilevel"/>
    <w:tmpl w:val="787B5C5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5MDc5ODI1MzhiMWIxYWNkZTEzNzJjYjBkZjQwZDgifQ=="/>
  </w:docVars>
  <w:rsids>
    <w:rsidRoot w:val="0083461B"/>
    <w:rsid w:val="000102FF"/>
    <w:rsid w:val="00010BB1"/>
    <w:rsid w:val="00014BF8"/>
    <w:rsid w:val="00015558"/>
    <w:rsid w:val="000317D1"/>
    <w:rsid w:val="00035385"/>
    <w:rsid w:val="00036993"/>
    <w:rsid w:val="00057B80"/>
    <w:rsid w:val="0006001F"/>
    <w:rsid w:val="00063FD1"/>
    <w:rsid w:val="00073B27"/>
    <w:rsid w:val="00073EEA"/>
    <w:rsid w:val="00074E10"/>
    <w:rsid w:val="0008363C"/>
    <w:rsid w:val="00084E9D"/>
    <w:rsid w:val="00092D8B"/>
    <w:rsid w:val="000A1F4C"/>
    <w:rsid w:val="000B2760"/>
    <w:rsid w:val="000C1842"/>
    <w:rsid w:val="000E7171"/>
    <w:rsid w:val="0010686D"/>
    <w:rsid w:val="001137FB"/>
    <w:rsid w:val="00115DFB"/>
    <w:rsid w:val="00123257"/>
    <w:rsid w:val="00123E15"/>
    <w:rsid w:val="00127349"/>
    <w:rsid w:val="00147981"/>
    <w:rsid w:val="00166DB6"/>
    <w:rsid w:val="001814AE"/>
    <w:rsid w:val="00184405"/>
    <w:rsid w:val="00191B32"/>
    <w:rsid w:val="001B064B"/>
    <w:rsid w:val="001B57FF"/>
    <w:rsid w:val="001D5B78"/>
    <w:rsid w:val="00201AE1"/>
    <w:rsid w:val="002021EF"/>
    <w:rsid w:val="002104E3"/>
    <w:rsid w:val="002138EE"/>
    <w:rsid w:val="00213FB1"/>
    <w:rsid w:val="002262B1"/>
    <w:rsid w:val="002406AD"/>
    <w:rsid w:val="002441D3"/>
    <w:rsid w:val="002610B2"/>
    <w:rsid w:val="00264B3F"/>
    <w:rsid w:val="002663DE"/>
    <w:rsid w:val="00267211"/>
    <w:rsid w:val="00282779"/>
    <w:rsid w:val="002879B5"/>
    <w:rsid w:val="00294D3D"/>
    <w:rsid w:val="0029572C"/>
    <w:rsid w:val="00296CDC"/>
    <w:rsid w:val="002A26BE"/>
    <w:rsid w:val="002B09C4"/>
    <w:rsid w:val="002B2DF9"/>
    <w:rsid w:val="002D0388"/>
    <w:rsid w:val="002E051C"/>
    <w:rsid w:val="002E0EFF"/>
    <w:rsid w:val="002E11D1"/>
    <w:rsid w:val="002E4E5F"/>
    <w:rsid w:val="002F051E"/>
    <w:rsid w:val="00305245"/>
    <w:rsid w:val="00313785"/>
    <w:rsid w:val="00320460"/>
    <w:rsid w:val="0032259A"/>
    <w:rsid w:val="00324C1F"/>
    <w:rsid w:val="00341702"/>
    <w:rsid w:val="00347539"/>
    <w:rsid w:val="00361890"/>
    <w:rsid w:val="00365FC3"/>
    <w:rsid w:val="00393506"/>
    <w:rsid w:val="003B2057"/>
    <w:rsid w:val="003B3117"/>
    <w:rsid w:val="003C63C9"/>
    <w:rsid w:val="003D2492"/>
    <w:rsid w:val="003D6540"/>
    <w:rsid w:val="003E1070"/>
    <w:rsid w:val="003E4DFB"/>
    <w:rsid w:val="003F770C"/>
    <w:rsid w:val="004072F4"/>
    <w:rsid w:val="00407307"/>
    <w:rsid w:val="00411B24"/>
    <w:rsid w:val="00413A81"/>
    <w:rsid w:val="00425BB9"/>
    <w:rsid w:val="00426503"/>
    <w:rsid w:val="004271E1"/>
    <w:rsid w:val="00436083"/>
    <w:rsid w:val="004449ED"/>
    <w:rsid w:val="00444F76"/>
    <w:rsid w:val="00453FA1"/>
    <w:rsid w:val="0045535C"/>
    <w:rsid w:val="00457BCC"/>
    <w:rsid w:val="00466BF6"/>
    <w:rsid w:val="00490512"/>
    <w:rsid w:val="0049298C"/>
    <w:rsid w:val="004A1624"/>
    <w:rsid w:val="004B43AA"/>
    <w:rsid w:val="004B6314"/>
    <w:rsid w:val="004C4694"/>
    <w:rsid w:val="004C476D"/>
    <w:rsid w:val="004D19FB"/>
    <w:rsid w:val="004D7DCC"/>
    <w:rsid w:val="004E12AC"/>
    <w:rsid w:val="004F2187"/>
    <w:rsid w:val="00504296"/>
    <w:rsid w:val="00514BD3"/>
    <w:rsid w:val="005160C7"/>
    <w:rsid w:val="00517531"/>
    <w:rsid w:val="00530211"/>
    <w:rsid w:val="005401AC"/>
    <w:rsid w:val="0054299C"/>
    <w:rsid w:val="00552B54"/>
    <w:rsid w:val="0055450D"/>
    <w:rsid w:val="00561C66"/>
    <w:rsid w:val="00561CC5"/>
    <w:rsid w:val="00563F33"/>
    <w:rsid w:val="0057054B"/>
    <w:rsid w:val="0057073B"/>
    <w:rsid w:val="00575567"/>
    <w:rsid w:val="00593226"/>
    <w:rsid w:val="00594D75"/>
    <w:rsid w:val="0059653B"/>
    <w:rsid w:val="005B6F88"/>
    <w:rsid w:val="005C53B1"/>
    <w:rsid w:val="005F2894"/>
    <w:rsid w:val="00612B80"/>
    <w:rsid w:val="0062602B"/>
    <w:rsid w:val="006314DC"/>
    <w:rsid w:val="00632DDF"/>
    <w:rsid w:val="00633BF5"/>
    <w:rsid w:val="00642D34"/>
    <w:rsid w:val="00662196"/>
    <w:rsid w:val="00666D2F"/>
    <w:rsid w:val="006676CB"/>
    <w:rsid w:val="006750D7"/>
    <w:rsid w:val="00680E61"/>
    <w:rsid w:val="006A4421"/>
    <w:rsid w:val="006B0809"/>
    <w:rsid w:val="006B18E3"/>
    <w:rsid w:val="006B603A"/>
    <w:rsid w:val="006C2B36"/>
    <w:rsid w:val="006D221E"/>
    <w:rsid w:val="006D2620"/>
    <w:rsid w:val="006D49B3"/>
    <w:rsid w:val="006D4E43"/>
    <w:rsid w:val="006D5218"/>
    <w:rsid w:val="006F2713"/>
    <w:rsid w:val="00702A6A"/>
    <w:rsid w:val="00712E53"/>
    <w:rsid w:val="00713B5F"/>
    <w:rsid w:val="00724070"/>
    <w:rsid w:val="00725EFC"/>
    <w:rsid w:val="00735C05"/>
    <w:rsid w:val="00737AEF"/>
    <w:rsid w:val="00755A0B"/>
    <w:rsid w:val="00757565"/>
    <w:rsid w:val="007618F5"/>
    <w:rsid w:val="007648A1"/>
    <w:rsid w:val="00775D0B"/>
    <w:rsid w:val="00781C63"/>
    <w:rsid w:val="0079046B"/>
    <w:rsid w:val="007A1247"/>
    <w:rsid w:val="007B5E13"/>
    <w:rsid w:val="007C2423"/>
    <w:rsid w:val="007C3CE1"/>
    <w:rsid w:val="007E5532"/>
    <w:rsid w:val="007F08E2"/>
    <w:rsid w:val="00814289"/>
    <w:rsid w:val="00826907"/>
    <w:rsid w:val="0082738F"/>
    <w:rsid w:val="00831876"/>
    <w:rsid w:val="0083461B"/>
    <w:rsid w:val="00836563"/>
    <w:rsid w:val="008425CF"/>
    <w:rsid w:val="00843BDD"/>
    <w:rsid w:val="00847133"/>
    <w:rsid w:val="00862655"/>
    <w:rsid w:val="00881553"/>
    <w:rsid w:val="00883A91"/>
    <w:rsid w:val="00885991"/>
    <w:rsid w:val="00887B51"/>
    <w:rsid w:val="008A2AA5"/>
    <w:rsid w:val="00906207"/>
    <w:rsid w:val="00912200"/>
    <w:rsid w:val="0091612F"/>
    <w:rsid w:val="00917059"/>
    <w:rsid w:val="009276E3"/>
    <w:rsid w:val="009351D8"/>
    <w:rsid w:val="009500A6"/>
    <w:rsid w:val="00965A1C"/>
    <w:rsid w:val="00984056"/>
    <w:rsid w:val="0098678C"/>
    <w:rsid w:val="009974A2"/>
    <w:rsid w:val="009A19AC"/>
    <w:rsid w:val="009B042D"/>
    <w:rsid w:val="009B1B51"/>
    <w:rsid w:val="009B28C3"/>
    <w:rsid w:val="009C5536"/>
    <w:rsid w:val="00A04FB5"/>
    <w:rsid w:val="00A060B9"/>
    <w:rsid w:val="00A11894"/>
    <w:rsid w:val="00A22102"/>
    <w:rsid w:val="00A3561C"/>
    <w:rsid w:val="00A611EE"/>
    <w:rsid w:val="00A65C00"/>
    <w:rsid w:val="00AB10DB"/>
    <w:rsid w:val="00AD0124"/>
    <w:rsid w:val="00AD698E"/>
    <w:rsid w:val="00AE6819"/>
    <w:rsid w:val="00AF2ECD"/>
    <w:rsid w:val="00B23475"/>
    <w:rsid w:val="00B26AAA"/>
    <w:rsid w:val="00B3638F"/>
    <w:rsid w:val="00B534A2"/>
    <w:rsid w:val="00B60874"/>
    <w:rsid w:val="00B638FA"/>
    <w:rsid w:val="00B66DE5"/>
    <w:rsid w:val="00B731ED"/>
    <w:rsid w:val="00B7565B"/>
    <w:rsid w:val="00B80028"/>
    <w:rsid w:val="00B80113"/>
    <w:rsid w:val="00B967AB"/>
    <w:rsid w:val="00BA7261"/>
    <w:rsid w:val="00BB5511"/>
    <w:rsid w:val="00BF7C75"/>
    <w:rsid w:val="00C106A5"/>
    <w:rsid w:val="00C121A4"/>
    <w:rsid w:val="00C416B3"/>
    <w:rsid w:val="00C61C3E"/>
    <w:rsid w:val="00C85FE8"/>
    <w:rsid w:val="00C87528"/>
    <w:rsid w:val="00C90474"/>
    <w:rsid w:val="00CA24D6"/>
    <w:rsid w:val="00CA7B06"/>
    <w:rsid w:val="00CB36C4"/>
    <w:rsid w:val="00CB7FE0"/>
    <w:rsid w:val="00CC3F50"/>
    <w:rsid w:val="00CC73A1"/>
    <w:rsid w:val="00CD1BE2"/>
    <w:rsid w:val="00CD5222"/>
    <w:rsid w:val="00CE0BB8"/>
    <w:rsid w:val="00CE1FB9"/>
    <w:rsid w:val="00CE2C16"/>
    <w:rsid w:val="00CE3B0D"/>
    <w:rsid w:val="00CF5401"/>
    <w:rsid w:val="00CF7409"/>
    <w:rsid w:val="00D1569D"/>
    <w:rsid w:val="00D174C6"/>
    <w:rsid w:val="00D32B57"/>
    <w:rsid w:val="00D420A6"/>
    <w:rsid w:val="00D45540"/>
    <w:rsid w:val="00D47A47"/>
    <w:rsid w:val="00D522EC"/>
    <w:rsid w:val="00D60CB7"/>
    <w:rsid w:val="00D6340C"/>
    <w:rsid w:val="00D82F36"/>
    <w:rsid w:val="00D93024"/>
    <w:rsid w:val="00D9551C"/>
    <w:rsid w:val="00DB3F6C"/>
    <w:rsid w:val="00DB5146"/>
    <w:rsid w:val="00DC065C"/>
    <w:rsid w:val="00DD055C"/>
    <w:rsid w:val="00DE767A"/>
    <w:rsid w:val="00E053A2"/>
    <w:rsid w:val="00E05715"/>
    <w:rsid w:val="00E33823"/>
    <w:rsid w:val="00E47360"/>
    <w:rsid w:val="00E54940"/>
    <w:rsid w:val="00E549C7"/>
    <w:rsid w:val="00E56389"/>
    <w:rsid w:val="00E56CBF"/>
    <w:rsid w:val="00E66862"/>
    <w:rsid w:val="00E741B7"/>
    <w:rsid w:val="00E774AE"/>
    <w:rsid w:val="00E93B49"/>
    <w:rsid w:val="00EB29FD"/>
    <w:rsid w:val="00ED3091"/>
    <w:rsid w:val="00EF0259"/>
    <w:rsid w:val="00EF12BA"/>
    <w:rsid w:val="00EF40A0"/>
    <w:rsid w:val="00EF57AB"/>
    <w:rsid w:val="00EF595E"/>
    <w:rsid w:val="00F05C9D"/>
    <w:rsid w:val="00F06286"/>
    <w:rsid w:val="00F21F15"/>
    <w:rsid w:val="00F23F68"/>
    <w:rsid w:val="00F244BD"/>
    <w:rsid w:val="00F462A7"/>
    <w:rsid w:val="00F508E0"/>
    <w:rsid w:val="00F61146"/>
    <w:rsid w:val="00F61695"/>
    <w:rsid w:val="00F6404D"/>
    <w:rsid w:val="00F64D01"/>
    <w:rsid w:val="00F70FEA"/>
    <w:rsid w:val="00F74E58"/>
    <w:rsid w:val="00F80B5E"/>
    <w:rsid w:val="00F96C8D"/>
    <w:rsid w:val="00FA1F26"/>
    <w:rsid w:val="00FA5454"/>
    <w:rsid w:val="00FB7C20"/>
    <w:rsid w:val="00FD27E6"/>
    <w:rsid w:val="00FD5A9C"/>
    <w:rsid w:val="00FE0AC7"/>
    <w:rsid w:val="00FE7A62"/>
    <w:rsid w:val="00FF1A20"/>
    <w:rsid w:val="00FF44AE"/>
    <w:rsid w:val="00FF54F7"/>
    <w:rsid w:val="04F77B58"/>
    <w:rsid w:val="11CB522D"/>
    <w:rsid w:val="155901F1"/>
    <w:rsid w:val="1D6F5C49"/>
    <w:rsid w:val="29F61063"/>
    <w:rsid w:val="31C4105A"/>
    <w:rsid w:val="3CA63395"/>
    <w:rsid w:val="55A718AE"/>
    <w:rsid w:val="5AD40906"/>
    <w:rsid w:val="5CE16E2F"/>
    <w:rsid w:val="71D13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0"/>
    <w:pPr>
      <w:keepNext/>
      <w:keepLines/>
      <w:numPr>
        <w:ilvl w:val="0"/>
        <w:numId w:val="1"/>
      </w:numPr>
      <w:spacing w:before="50" w:beforeLines="50" w:after="50" w:afterLines="50" w:line="360" w:lineRule="auto"/>
      <w:outlineLvl w:val="0"/>
    </w:pPr>
    <w:rPr>
      <w:rFonts w:ascii="Times New Roman" w:hAnsi="Times New Roman" w:eastAsia="楷体_GB2312" w:cs="Times New Roman"/>
      <w:b/>
      <w:kern w:val="44"/>
      <w:sz w:val="44"/>
      <w:szCs w:val="21"/>
    </w:rPr>
  </w:style>
  <w:style w:type="paragraph" w:styleId="3">
    <w:name w:val="heading 2"/>
    <w:basedOn w:val="1"/>
    <w:next w:val="1"/>
    <w:link w:val="36"/>
    <w:qFormat/>
    <w:uiPriority w:val="0"/>
    <w:pPr>
      <w:keepNext/>
      <w:keepLines/>
      <w:numPr>
        <w:ilvl w:val="1"/>
        <w:numId w:val="1"/>
      </w:numPr>
      <w:tabs>
        <w:tab w:val="left" w:pos="454"/>
      </w:tabs>
      <w:spacing w:before="50" w:beforeLines="50" w:after="50" w:afterLines="50" w:line="360" w:lineRule="auto"/>
      <w:jc w:val="left"/>
      <w:outlineLvl w:val="1"/>
    </w:pPr>
    <w:rPr>
      <w:rFonts w:ascii="Times New Roman" w:hAnsi="Times New Roman" w:eastAsia="楷体_GB2312" w:cs="Times New Roman"/>
      <w:b/>
      <w:bCs/>
      <w:smallCaps/>
      <w:sz w:val="36"/>
      <w:szCs w:val="28"/>
    </w:rPr>
  </w:style>
  <w:style w:type="paragraph" w:styleId="4">
    <w:name w:val="heading 3"/>
    <w:basedOn w:val="1"/>
    <w:next w:val="1"/>
    <w:link w:val="37"/>
    <w:qFormat/>
    <w:uiPriority w:val="0"/>
    <w:pPr>
      <w:keepNext/>
      <w:keepLines/>
      <w:numPr>
        <w:ilvl w:val="2"/>
        <w:numId w:val="1"/>
      </w:numPr>
      <w:tabs>
        <w:tab w:val="left" w:pos="454"/>
      </w:tabs>
      <w:spacing w:before="50" w:beforeLines="50" w:after="50" w:afterLines="50" w:line="360" w:lineRule="auto"/>
      <w:outlineLvl w:val="2"/>
    </w:pPr>
    <w:rPr>
      <w:rFonts w:ascii="Times New Roman" w:hAnsi="Times New Roman" w:eastAsia="华文楷体" w:cs="Times New Roman"/>
      <w:b/>
      <w:bCs/>
      <w:sz w:val="32"/>
      <w:szCs w:val="21"/>
    </w:rPr>
  </w:style>
  <w:style w:type="paragraph" w:styleId="5">
    <w:name w:val="heading 4"/>
    <w:basedOn w:val="1"/>
    <w:next w:val="1"/>
    <w:link w:val="38"/>
    <w:qFormat/>
    <w:uiPriority w:val="0"/>
    <w:pPr>
      <w:numPr>
        <w:ilvl w:val="3"/>
        <w:numId w:val="1"/>
      </w:numPr>
      <w:tabs>
        <w:tab w:val="left" w:pos="454"/>
      </w:tabs>
      <w:adjustRightInd w:val="0"/>
      <w:spacing w:before="50" w:beforeLines="50" w:after="50" w:afterLines="50" w:line="360" w:lineRule="auto"/>
      <w:jc w:val="left"/>
      <w:textAlignment w:val="baseline"/>
      <w:outlineLvl w:val="3"/>
    </w:pPr>
    <w:rPr>
      <w:rFonts w:ascii="Times New Roman" w:hAnsi="Times New Roman" w:eastAsia="宋体" w:cs="Times New Roman"/>
      <w:b/>
      <w:bCs/>
      <w:smallCaps/>
      <w:sz w:val="28"/>
      <w:szCs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semiHidden/>
    <w:unhideWhenUsed/>
    <w:qFormat/>
    <w:uiPriority w:val="35"/>
    <w:rPr>
      <w:rFonts w:eastAsia="黑体" w:asciiTheme="majorHAnsi" w:hAnsiTheme="majorHAnsi" w:cstheme="majorBidi"/>
      <w:sz w:val="20"/>
      <w:szCs w:val="20"/>
    </w:rPr>
  </w:style>
  <w:style w:type="paragraph" w:styleId="7">
    <w:name w:val="annotation text"/>
    <w:basedOn w:val="1"/>
    <w:link w:val="41"/>
    <w:unhideWhenUsed/>
    <w:qFormat/>
    <w:uiPriority w:val="99"/>
    <w:pPr>
      <w:jc w:val="left"/>
    </w:pPr>
  </w:style>
  <w:style w:type="paragraph" w:styleId="8">
    <w:name w:val="Balloon Text"/>
    <w:basedOn w:val="1"/>
    <w:link w:val="43"/>
    <w:semiHidden/>
    <w:unhideWhenUsed/>
    <w:uiPriority w:val="99"/>
    <w:rPr>
      <w:sz w:val="18"/>
      <w:szCs w:val="18"/>
    </w:rPr>
  </w:style>
  <w:style w:type="paragraph" w:styleId="9">
    <w:name w:val="footer"/>
    <w:basedOn w:val="1"/>
    <w:link w:val="31"/>
    <w:unhideWhenUsed/>
    <w:qFormat/>
    <w:uiPriority w:val="99"/>
    <w:pPr>
      <w:tabs>
        <w:tab w:val="center" w:pos="4153"/>
        <w:tab w:val="right" w:pos="8306"/>
      </w:tabs>
      <w:snapToGrid w:val="0"/>
      <w:jc w:val="left"/>
    </w:pPr>
    <w:rPr>
      <w:sz w:val="18"/>
      <w:szCs w:val="18"/>
    </w:rPr>
  </w:style>
  <w:style w:type="paragraph" w:styleId="10">
    <w:name w:val="header"/>
    <w:basedOn w:val="1"/>
    <w:link w:val="34"/>
    <w:unhideWhenUsed/>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7"/>
    <w:next w:val="7"/>
    <w:link w:val="42"/>
    <w:semiHidden/>
    <w:unhideWhenUsed/>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semiHidden/>
    <w:unhideWhenUsed/>
    <w:uiPriority w:val="99"/>
    <w:rPr>
      <w:color w:val="0000FF"/>
      <w:u w:val="single"/>
    </w:rPr>
  </w:style>
  <w:style w:type="character" w:styleId="16">
    <w:name w:val="annotation reference"/>
    <w:basedOn w:val="14"/>
    <w:unhideWhenUsed/>
    <w:qFormat/>
    <w:uiPriority w:val="99"/>
    <w:rPr>
      <w:sz w:val="21"/>
      <w:szCs w:val="21"/>
    </w:rPr>
  </w:style>
  <w:style w:type="paragraph" w:customStyle="1" w:styleId="17">
    <w:name w:val="A-z正文"/>
    <w:basedOn w:val="1"/>
    <w:link w:val="18"/>
    <w:qFormat/>
    <w:uiPriority w:val="0"/>
    <w:pPr>
      <w:spacing w:line="360" w:lineRule="auto"/>
      <w:ind w:firstLine="200" w:firstLineChars="200"/>
    </w:pPr>
    <w:rPr>
      <w:rFonts w:ascii="Times New Roman" w:hAnsi="Times New Roman" w:eastAsia="宋体" w:cs="宋体"/>
      <w:sz w:val="24"/>
      <w:szCs w:val="20"/>
    </w:rPr>
  </w:style>
  <w:style w:type="character" w:customStyle="1" w:styleId="18">
    <w:name w:val="A-z正文 Char"/>
    <w:basedOn w:val="14"/>
    <w:link w:val="17"/>
    <w:qFormat/>
    <w:uiPriority w:val="0"/>
    <w:rPr>
      <w:rFonts w:ascii="Times New Roman" w:hAnsi="Times New Roman" w:eastAsia="宋体" w:cs="宋体"/>
      <w:sz w:val="24"/>
      <w:szCs w:val="20"/>
    </w:rPr>
  </w:style>
  <w:style w:type="table" w:customStyle="1" w:styleId="19">
    <w:name w:val="A-表格属性"/>
    <w:basedOn w:val="12"/>
    <w:uiPriority w:val="99"/>
    <w:pPr>
      <w:jc w:val="center"/>
    </w:p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rPr>
      <w:tblHeader/>
    </w:trPr>
    <w:tcPr>
      <w:vAlign w:val="center"/>
    </w:tcPr>
  </w:style>
  <w:style w:type="paragraph" w:customStyle="1" w:styleId="20">
    <w:name w:val="A-表格文字"/>
    <w:basedOn w:val="1"/>
    <w:next w:val="17"/>
    <w:link w:val="21"/>
    <w:qFormat/>
    <w:uiPriority w:val="0"/>
    <w:pPr>
      <w:autoSpaceDE w:val="0"/>
      <w:autoSpaceDN w:val="0"/>
      <w:adjustRightInd w:val="0"/>
      <w:jc w:val="center"/>
      <w:textAlignment w:val="center"/>
    </w:pPr>
    <w:rPr>
      <w:rFonts w:ascii="Times New Roman" w:hAnsi="Times New Roman" w:eastAsia="宋体" w:cs="Times New Roman"/>
      <w:kern w:val="0"/>
      <w:szCs w:val="21"/>
    </w:rPr>
  </w:style>
  <w:style w:type="character" w:customStyle="1" w:styleId="21">
    <w:name w:val="A-表格文字 Char"/>
    <w:basedOn w:val="14"/>
    <w:link w:val="20"/>
    <w:qFormat/>
    <w:uiPriority w:val="0"/>
    <w:rPr>
      <w:rFonts w:ascii="Times New Roman" w:hAnsi="Times New Roman" w:eastAsia="宋体" w:cs="Times New Roman"/>
      <w:kern w:val="0"/>
      <w:szCs w:val="21"/>
    </w:rPr>
  </w:style>
  <w:style w:type="paragraph" w:customStyle="1" w:styleId="22">
    <w:name w:val="A-题注-表"/>
    <w:basedOn w:val="6"/>
    <w:link w:val="23"/>
    <w:qFormat/>
    <w:uiPriority w:val="0"/>
    <w:pPr>
      <w:spacing w:before="50" w:beforeLines="50" w:line="360" w:lineRule="auto"/>
      <w:jc w:val="center"/>
    </w:pPr>
    <w:rPr>
      <w:rFonts w:ascii="Times New Roman" w:hAnsi="Times New Roman" w:eastAsia="宋体" w:cs="Arial"/>
      <w:b/>
      <w:sz w:val="21"/>
    </w:rPr>
  </w:style>
  <w:style w:type="character" w:customStyle="1" w:styleId="23">
    <w:name w:val="A-题注-表 Char"/>
    <w:basedOn w:val="14"/>
    <w:link w:val="22"/>
    <w:qFormat/>
    <w:uiPriority w:val="0"/>
    <w:rPr>
      <w:rFonts w:ascii="Times New Roman" w:hAnsi="Times New Roman" w:eastAsia="宋体" w:cs="Arial"/>
      <w:b/>
      <w:szCs w:val="20"/>
    </w:rPr>
  </w:style>
  <w:style w:type="paragraph" w:customStyle="1" w:styleId="24">
    <w:name w:val="A-题注-图"/>
    <w:basedOn w:val="22"/>
    <w:link w:val="25"/>
    <w:qFormat/>
    <w:uiPriority w:val="0"/>
    <w:pPr>
      <w:spacing w:before="0" w:beforeLines="0" w:after="50" w:afterLines="50"/>
    </w:pPr>
  </w:style>
  <w:style w:type="character" w:customStyle="1" w:styleId="25">
    <w:name w:val="A-题注-图 Char"/>
    <w:basedOn w:val="23"/>
    <w:link w:val="24"/>
    <w:qFormat/>
    <w:uiPriority w:val="0"/>
    <w:rPr>
      <w:rFonts w:ascii="Times New Roman" w:hAnsi="Times New Roman" w:eastAsia="宋体" w:cs="Arial"/>
      <w:szCs w:val="20"/>
    </w:rPr>
  </w:style>
  <w:style w:type="paragraph" w:customStyle="1" w:styleId="26">
    <w:name w:val="A-尾注"/>
    <w:basedOn w:val="17"/>
    <w:link w:val="27"/>
    <w:qFormat/>
    <w:uiPriority w:val="0"/>
    <w:pPr>
      <w:spacing w:line="240" w:lineRule="auto"/>
      <w:ind w:firstLine="0" w:firstLineChars="0"/>
      <w:jc w:val="left"/>
    </w:pPr>
    <w:rPr>
      <w:rFonts w:cs="Times New Roman"/>
      <w:sz w:val="18"/>
    </w:rPr>
  </w:style>
  <w:style w:type="character" w:customStyle="1" w:styleId="27">
    <w:name w:val="A-尾注 Char"/>
    <w:basedOn w:val="18"/>
    <w:link w:val="26"/>
    <w:qFormat/>
    <w:uiPriority w:val="0"/>
    <w:rPr>
      <w:rFonts w:ascii="Times New Roman" w:hAnsi="Times New Roman" w:eastAsia="宋体" w:cs="Times New Roman"/>
      <w:sz w:val="18"/>
      <w:szCs w:val="20"/>
    </w:rPr>
  </w:style>
  <w:style w:type="paragraph" w:customStyle="1" w:styleId="28">
    <w:name w:val="A-问题已解决"/>
    <w:basedOn w:val="1"/>
    <w:qFormat/>
    <w:uiPriority w:val="0"/>
    <w:pPr>
      <w:spacing w:line="360" w:lineRule="auto"/>
      <w:ind w:firstLine="444" w:firstLineChars="200"/>
    </w:pPr>
    <w:rPr>
      <w:rFonts w:ascii="宋体" w:hAnsi="Times New Roman" w:eastAsia="宋体" w:cs="宋体"/>
      <w:strike/>
      <w:szCs w:val="21"/>
    </w:rPr>
  </w:style>
  <w:style w:type="paragraph" w:customStyle="1" w:styleId="29">
    <w:name w:val="A-页脚"/>
    <w:basedOn w:val="9"/>
    <w:link w:val="30"/>
    <w:qFormat/>
    <w:uiPriority w:val="0"/>
    <w:pPr>
      <w:ind w:firstLine="480"/>
    </w:pPr>
    <w:rPr>
      <w:rFonts w:ascii="Times New Roman" w:hAnsi="Times New Roman" w:eastAsia="宋体" w:cs="Times New Roman"/>
    </w:rPr>
  </w:style>
  <w:style w:type="character" w:customStyle="1" w:styleId="30">
    <w:name w:val="A-页脚 Char"/>
    <w:basedOn w:val="14"/>
    <w:link w:val="29"/>
    <w:qFormat/>
    <w:uiPriority w:val="0"/>
    <w:rPr>
      <w:rFonts w:ascii="Times New Roman" w:hAnsi="Times New Roman" w:eastAsia="宋体" w:cs="Times New Roman"/>
      <w:sz w:val="18"/>
      <w:szCs w:val="18"/>
    </w:rPr>
  </w:style>
  <w:style w:type="character" w:customStyle="1" w:styleId="31">
    <w:name w:val="页脚 Char"/>
    <w:basedOn w:val="14"/>
    <w:link w:val="9"/>
    <w:qFormat/>
    <w:uiPriority w:val="99"/>
    <w:rPr>
      <w:sz w:val="18"/>
      <w:szCs w:val="18"/>
    </w:rPr>
  </w:style>
  <w:style w:type="paragraph" w:customStyle="1" w:styleId="32">
    <w:name w:val="A-页眉"/>
    <w:basedOn w:val="10"/>
    <w:link w:val="33"/>
    <w:qFormat/>
    <w:uiPriority w:val="0"/>
    <w:pPr>
      <w:ind w:firstLine="480"/>
    </w:pPr>
    <w:rPr>
      <w:rFonts w:ascii="Times New Roman" w:hAnsi="Times New Roman" w:eastAsia="宋体" w:cs="Times New Roman"/>
      <w:lang w:val="zh-CN"/>
    </w:rPr>
  </w:style>
  <w:style w:type="character" w:customStyle="1" w:styleId="33">
    <w:name w:val="A-页眉 Char"/>
    <w:basedOn w:val="14"/>
    <w:link w:val="32"/>
    <w:uiPriority w:val="0"/>
    <w:rPr>
      <w:rFonts w:ascii="Times New Roman" w:hAnsi="Times New Roman" w:eastAsia="宋体" w:cs="Times New Roman"/>
      <w:sz w:val="18"/>
      <w:szCs w:val="18"/>
      <w:lang w:val="zh-CN"/>
    </w:rPr>
  </w:style>
  <w:style w:type="character" w:customStyle="1" w:styleId="34">
    <w:name w:val="页眉 Char"/>
    <w:basedOn w:val="14"/>
    <w:link w:val="10"/>
    <w:uiPriority w:val="99"/>
    <w:rPr>
      <w:sz w:val="18"/>
      <w:szCs w:val="18"/>
    </w:rPr>
  </w:style>
  <w:style w:type="character" w:customStyle="1" w:styleId="35">
    <w:name w:val="标题 1 Char"/>
    <w:basedOn w:val="14"/>
    <w:link w:val="2"/>
    <w:qFormat/>
    <w:uiPriority w:val="0"/>
    <w:rPr>
      <w:rFonts w:ascii="Times New Roman" w:hAnsi="Times New Roman" w:eastAsia="楷体_GB2312" w:cs="Times New Roman"/>
      <w:b/>
      <w:kern w:val="44"/>
      <w:sz w:val="44"/>
      <w:szCs w:val="21"/>
    </w:rPr>
  </w:style>
  <w:style w:type="character" w:customStyle="1" w:styleId="36">
    <w:name w:val="标题 2 Char"/>
    <w:basedOn w:val="14"/>
    <w:link w:val="3"/>
    <w:qFormat/>
    <w:uiPriority w:val="0"/>
    <w:rPr>
      <w:rFonts w:ascii="Times New Roman" w:hAnsi="Times New Roman" w:eastAsia="楷体_GB2312" w:cs="Times New Roman"/>
      <w:b/>
      <w:bCs/>
      <w:smallCaps/>
      <w:sz w:val="36"/>
      <w:szCs w:val="28"/>
    </w:rPr>
  </w:style>
  <w:style w:type="character" w:customStyle="1" w:styleId="37">
    <w:name w:val="标题 3 Char"/>
    <w:basedOn w:val="14"/>
    <w:link w:val="4"/>
    <w:qFormat/>
    <w:uiPriority w:val="0"/>
    <w:rPr>
      <w:rFonts w:ascii="Times New Roman" w:hAnsi="Times New Roman" w:eastAsia="华文楷体" w:cs="Times New Roman"/>
      <w:b/>
      <w:bCs/>
      <w:sz w:val="32"/>
      <w:szCs w:val="21"/>
    </w:rPr>
  </w:style>
  <w:style w:type="character" w:customStyle="1" w:styleId="38">
    <w:name w:val="标题 4 Char"/>
    <w:basedOn w:val="14"/>
    <w:link w:val="5"/>
    <w:qFormat/>
    <w:uiPriority w:val="0"/>
    <w:rPr>
      <w:rFonts w:ascii="Times New Roman" w:hAnsi="Times New Roman" w:eastAsia="宋体" w:cs="Times New Roman"/>
      <w:b/>
      <w:bCs/>
      <w:smallCaps/>
      <w:sz w:val="28"/>
      <w:szCs w:val="24"/>
    </w:rPr>
  </w:style>
  <w:style w:type="paragraph" w:styleId="39">
    <w:name w:val="List Paragraph"/>
    <w:basedOn w:val="1"/>
    <w:qFormat/>
    <w:uiPriority w:val="34"/>
    <w:pPr>
      <w:ind w:firstLine="420" w:firstLineChars="200"/>
    </w:pPr>
  </w:style>
  <w:style w:type="paragraph" w:customStyle="1" w:styleId="4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1">
    <w:name w:val="批注文字 Char"/>
    <w:basedOn w:val="14"/>
    <w:link w:val="7"/>
    <w:qFormat/>
    <w:uiPriority w:val="99"/>
  </w:style>
  <w:style w:type="character" w:customStyle="1" w:styleId="42">
    <w:name w:val="批注主题 Char"/>
    <w:basedOn w:val="41"/>
    <w:link w:val="11"/>
    <w:semiHidden/>
    <w:uiPriority w:val="99"/>
    <w:rPr>
      <w:b/>
      <w:bCs/>
    </w:rPr>
  </w:style>
  <w:style w:type="character" w:customStyle="1" w:styleId="43">
    <w:name w:val="批注框文本 Char"/>
    <w:basedOn w:val="14"/>
    <w:link w:val="8"/>
    <w:semiHidden/>
    <w:qFormat/>
    <w:uiPriority w:val="99"/>
    <w:rPr>
      <w:kern w:val="2"/>
      <w:sz w:val="18"/>
      <w:szCs w:val="18"/>
    </w:rPr>
  </w:style>
  <w:style w:type="paragraph" w:customStyle="1" w:styleId="44">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5">
    <w:name w:val="批注文字 Char2"/>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6084</Words>
  <Characters>6762</Characters>
  <Lines>51</Lines>
  <Paragraphs>14</Paragraphs>
  <TotalTime>1748</TotalTime>
  <ScaleCrop>false</ScaleCrop>
  <LinksUpToDate>false</LinksUpToDate>
  <CharactersWithSpaces>6826</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2022-10-11T04:56:00Z</dcterms:created>
  <dc:creator>张 岩</dc:creator>
  <cp:lastModifiedBy>zxl</cp:lastModifiedBy>
  <cp:lastPrinted>2022-10-11T04:58:00Z</cp:lastPrinted>
  <dcterms:modified xsi:type="dcterms:W3CDTF">2024-11-15T08:37:49Z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F803968C74B54B6E9E6EC73DE4CA0A03_12</vt:lpwstr>
  </property>
</Properties>
</file>